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B0" w:rsidRPr="00C230B0" w:rsidRDefault="00C230B0" w:rsidP="00C230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31165" cy="534670"/>
            <wp:effectExtent l="19050" t="0" r="6985" b="0"/>
            <wp:docPr id="7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0B0" w:rsidRPr="00CA36D5" w:rsidRDefault="00C230B0" w:rsidP="00C230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района</w:t>
      </w:r>
    </w:p>
    <w:p w:rsidR="00C230B0" w:rsidRPr="00CA36D5" w:rsidRDefault="00C230B0" w:rsidP="00C230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«Спас-Деменский район»</w:t>
      </w:r>
    </w:p>
    <w:p w:rsidR="00C230B0" w:rsidRPr="00CA36D5" w:rsidRDefault="00C230B0" w:rsidP="00C230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Калужской области</w:t>
      </w:r>
    </w:p>
    <w:p w:rsidR="00C230B0" w:rsidRPr="00CA36D5" w:rsidRDefault="00C230B0" w:rsidP="00C230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0B0" w:rsidRPr="00CA36D5" w:rsidRDefault="00C230B0" w:rsidP="00C230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230B0" w:rsidRPr="00CA36D5" w:rsidRDefault="00C230B0" w:rsidP="00C230B0">
      <w:pPr>
        <w:spacing w:after="0" w:line="240" w:lineRule="auto"/>
        <w:ind w:right="453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30B0" w:rsidRPr="00CA36D5" w:rsidRDefault="002E4524" w:rsidP="00C230B0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64CC1" w:rsidRPr="00B6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C230B0" w:rsidRPr="00B6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CC1" w:rsidRPr="00B6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C230B0" w:rsidRPr="00B6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B64CC1" w:rsidRPr="00B6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230B0" w:rsidRPr="00B6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</w:t>
      </w:r>
      <w:r w:rsidR="00C230B0" w:rsidRPr="00B64C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 Спас-Деменск</w:t>
      </w:r>
      <w:r w:rsidR="00C230B0" w:rsidRPr="00B6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№</w:t>
      </w:r>
      <w:r w:rsidR="00B64CC1" w:rsidRPr="00B6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</w:t>
      </w:r>
    </w:p>
    <w:p w:rsidR="00290018" w:rsidRPr="00CA36D5" w:rsidRDefault="00290018" w:rsidP="002900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0B0" w:rsidRPr="00CA36D5" w:rsidRDefault="00290018" w:rsidP="00C230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proofErr w:type="gramStart"/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proofErr w:type="gramEnd"/>
    </w:p>
    <w:p w:rsidR="00C230B0" w:rsidRPr="00CA36D5" w:rsidRDefault="00290018" w:rsidP="00C230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«Обеспечение безопасности</w:t>
      </w:r>
    </w:p>
    <w:p w:rsidR="00C230B0" w:rsidRPr="00CA36D5" w:rsidRDefault="00290018" w:rsidP="00C230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жизнедеятельности на территории</w:t>
      </w:r>
    </w:p>
    <w:p w:rsidR="00290018" w:rsidRDefault="00290018" w:rsidP="00C230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="00C230B0"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«Спас-Деменский район</w:t>
      </w:r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F7694" w:rsidRPr="00CA36D5" w:rsidRDefault="009F7694" w:rsidP="00C230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4E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4E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290018" w:rsidRPr="00CA36D5" w:rsidRDefault="00290018" w:rsidP="00290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CA4" w:rsidRDefault="00290018" w:rsidP="0029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 w:rsidR="0050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ответствии с Федеральными законом от 12.02.1998 №28-ФЗ 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гражданской обороне», </w:t>
      </w:r>
      <w:r w:rsidR="0050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 от 21.12.1994 №68-ФЗ 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защите населения и территорий от чрезвычайных ситуаций природного и техногенного характера», </w:t>
      </w:r>
      <w:r w:rsidR="0050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71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06.10.2003 №131-ФЗ 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71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21. 12.1994 №69-ФЗ «О пожарной безопасности», 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</w:t>
      </w:r>
      <w:r w:rsidR="00714D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 31.12.2015 № 683 «О с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тратегии</w:t>
      </w:r>
      <w:proofErr w:type="gramEnd"/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</w:t>
      </w:r>
      <w:proofErr w:type="gramStart"/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Российской Федерации», на основании ст. 179 Бюджетного кодекса Российской Федерац</w:t>
      </w:r>
      <w:r w:rsidR="00B375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П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администрации муниципального района «</w:t>
      </w:r>
      <w:r w:rsidR="00C95515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Спас-Деменский 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от </w:t>
      </w:r>
      <w:r w:rsidR="00C95515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515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95515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A36D5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принятия решения о разработке муниципальных программ муниципального района «</w:t>
      </w:r>
      <w:r w:rsidR="00CA36D5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Спас-Деменский 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район», их формирования и реализации и Порядка проведения оценки эффективности реализации муниципальных программ</w:t>
      </w:r>
      <w:r w:rsidR="00B37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реализуемых на территории </w:t>
      </w:r>
      <w:r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</w:t>
      </w:r>
      <w:r w:rsidR="00181F66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Спас-Деменский</w:t>
      </w:r>
      <w:r w:rsidR="0013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proofErr w:type="gramEnd"/>
    </w:p>
    <w:p w:rsidR="00290018" w:rsidRPr="00CA36D5" w:rsidRDefault="00290018" w:rsidP="00D94C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290018" w:rsidRPr="00CA36D5" w:rsidRDefault="00290018" w:rsidP="002900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018" w:rsidRPr="00CA36D5" w:rsidRDefault="00287935" w:rsidP="00861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018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муниципальную программу «Обеспечение </w:t>
      </w:r>
      <w:r w:rsidR="006F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290018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жизнедеятельности </w:t>
      </w:r>
      <w:r w:rsidR="006F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290018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</w:t>
      </w:r>
      <w:r w:rsidR="00181F66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Спас-Деменский</w:t>
      </w:r>
      <w:r w:rsidR="00290018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 w:rsidR="006F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2024-2028 годы» </w:t>
      </w:r>
      <w:r w:rsidR="00290018" w:rsidRPr="00CA36D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290018" w:rsidRPr="00287935" w:rsidRDefault="00287935" w:rsidP="008617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93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FE04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0018" w:rsidRPr="00287935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района «</w:t>
      </w:r>
      <w:r w:rsidR="00181F66" w:rsidRPr="00287935">
        <w:rPr>
          <w:rFonts w:ascii="Times New Roman" w:hAnsi="Times New Roman" w:cs="Times New Roman"/>
          <w:sz w:val="28"/>
          <w:szCs w:val="28"/>
          <w:lang w:eastAsia="ru-RU"/>
        </w:rPr>
        <w:t>Спас-Деменский район</w:t>
      </w:r>
      <w:r w:rsidR="00290018" w:rsidRPr="00287935">
        <w:rPr>
          <w:rFonts w:ascii="Times New Roman" w:hAnsi="Times New Roman" w:cs="Times New Roman"/>
          <w:sz w:val="28"/>
          <w:szCs w:val="28"/>
          <w:lang w:eastAsia="ru-RU"/>
        </w:rPr>
        <w:t xml:space="preserve">» от </w:t>
      </w:r>
      <w:r w:rsidR="00CA36D5" w:rsidRPr="00287935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290018" w:rsidRPr="0028793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A36D5" w:rsidRPr="00287935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="00290018" w:rsidRPr="00287935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CA36D5" w:rsidRPr="00287935">
        <w:rPr>
          <w:rFonts w:ascii="Times New Roman" w:hAnsi="Times New Roman" w:cs="Times New Roman"/>
          <w:sz w:val="28"/>
          <w:szCs w:val="28"/>
          <w:lang w:eastAsia="ru-RU"/>
        </w:rPr>
        <w:t>21 №79</w:t>
      </w:r>
      <w:r w:rsidR="00290018" w:rsidRPr="0028793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CA36D5" w:rsidRPr="00287935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муниципальной программы «</w:t>
      </w:r>
      <w:r w:rsidR="00CA36D5" w:rsidRPr="0028793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Безопасность жизнедеятельности населения</w:t>
      </w:r>
      <w:r w:rsidR="00CA36D5" w:rsidRPr="002879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36D5" w:rsidRPr="0028793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территории муниципального района</w:t>
      </w:r>
      <w:r w:rsidR="00CA36D5" w:rsidRPr="0028793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36D5" w:rsidRPr="00287935">
        <w:rPr>
          <w:rFonts w:ascii="Times New Roman" w:eastAsia="Calibri" w:hAnsi="Times New Roman" w:cs="Times New Roman"/>
          <w:sz w:val="28"/>
          <w:szCs w:val="28"/>
          <w:lang w:eastAsia="ru-RU"/>
        </w:rPr>
        <w:t>«Спас-Деменский район» на 2021-2026 годы»</w:t>
      </w:r>
      <w:r w:rsidR="00290018" w:rsidRPr="00287935">
        <w:rPr>
          <w:rFonts w:ascii="Times New Roman" w:hAnsi="Times New Roman" w:cs="Times New Roman"/>
          <w:sz w:val="28"/>
          <w:szCs w:val="28"/>
          <w:lang w:eastAsia="ru-RU"/>
        </w:rPr>
        <w:t xml:space="preserve"> признать утратившим сил</w:t>
      </w:r>
      <w:r w:rsidR="008B105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64CC1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F9147A">
        <w:rPr>
          <w:rFonts w:ascii="Times New Roman" w:hAnsi="Times New Roman" w:cs="Times New Roman"/>
          <w:sz w:val="28"/>
          <w:szCs w:val="28"/>
          <w:lang w:eastAsia="ru-RU"/>
        </w:rPr>
        <w:t xml:space="preserve"> 01января 2024 года. </w:t>
      </w:r>
    </w:p>
    <w:p w:rsidR="00290018" w:rsidRDefault="00287935" w:rsidP="008617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7935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290018" w:rsidRPr="0028793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90018" w:rsidRPr="002879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7478">
        <w:rPr>
          <w:rFonts w:ascii="Times New Roman" w:hAnsi="Times New Roman" w:cs="Times New Roman"/>
          <w:sz w:val="28"/>
          <w:szCs w:val="28"/>
          <w:lang w:eastAsia="ru-RU"/>
        </w:rPr>
        <w:t xml:space="preserve">исполнением </w:t>
      </w:r>
      <w:r w:rsidR="00290018" w:rsidRPr="00287935">
        <w:rPr>
          <w:rFonts w:ascii="Times New Roman" w:hAnsi="Times New Roman" w:cs="Times New Roman"/>
          <w:sz w:val="28"/>
          <w:szCs w:val="28"/>
          <w:lang w:eastAsia="ru-RU"/>
        </w:rPr>
        <w:t>настоящего постановления возложить на</w:t>
      </w:r>
      <w:r w:rsidRPr="002879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36D5" w:rsidRPr="00287935">
        <w:rPr>
          <w:rFonts w:ascii="Times New Roman" w:hAnsi="Times New Roman" w:cs="Times New Roman"/>
          <w:sz w:val="28"/>
          <w:szCs w:val="28"/>
          <w:lang w:eastAsia="ru-RU"/>
        </w:rPr>
        <w:t>заместителя главы администрации МР «</w:t>
      </w:r>
      <w:r w:rsidR="0067429F" w:rsidRPr="00287935">
        <w:rPr>
          <w:rFonts w:ascii="Times New Roman" w:hAnsi="Times New Roman" w:cs="Times New Roman"/>
          <w:sz w:val="28"/>
          <w:szCs w:val="28"/>
          <w:lang w:eastAsia="ru-RU"/>
        </w:rPr>
        <w:t>Спас-Д</w:t>
      </w:r>
      <w:r w:rsidR="00CA36D5" w:rsidRPr="00287935">
        <w:rPr>
          <w:rFonts w:ascii="Times New Roman" w:hAnsi="Times New Roman" w:cs="Times New Roman"/>
          <w:sz w:val="28"/>
          <w:szCs w:val="28"/>
          <w:lang w:eastAsia="ru-RU"/>
        </w:rPr>
        <w:t xml:space="preserve">еменский район» Д.А. </w:t>
      </w:r>
      <w:proofErr w:type="spellStart"/>
      <w:r w:rsidR="00CA36D5" w:rsidRPr="00287935">
        <w:rPr>
          <w:rFonts w:ascii="Times New Roman" w:hAnsi="Times New Roman" w:cs="Times New Roman"/>
          <w:sz w:val="28"/>
          <w:szCs w:val="28"/>
          <w:lang w:eastAsia="ru-RU"/>
        </w:rPr>
        <w:t>Крисаненкова</w:t>
      </w:r>
      <w:proofErr w:type="spellEnd"/>
      <w:r w:rsidR="00290018" w:rsidRPr="0028793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478" w:rsidRPr="00287935" w:rsidRDefault="007F7478" w:rsidP="008617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Настоящее постановление вступает в силу с</w:t>
      </w:r>
      <w:r w:rsidR="00F9147A">
        <w:rPr>
          <w:rFonts w:ascii="Times New Roman" w:hAnsi="Times New Roman" w:cs="Times New Roman"/>
          <w:sz w:val="28"/>
          <w:szCs w:val="28"/>
          <w:lang w:eastAsia="ru-RU"/>
        </w:rPr>
        <w:t xml:space="preserve"> 01 января 2024 года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147A">
        <w:rPr>
          <w:rFonts w:ascii="Times New Roman" w:hAnsi="Times New Roman" w:cs="Times New Roman"/>
          <w:sz w:val="28"/>
          <w:szCs w:val="28"/>
          <w:lang w:eastAsia="ru-RU"/>
        </w:rPr>
        <w:t xml:space="preserve">подлежит </w:t>
      </w:r>
      <w:r>
        <w:rPr>
          <w:rFonts w:ascii="Times New Roman" w:hAnsi="Times New Roman" w:cs="Times New Roman"/>
          <w:sz w:val="28"/>
          <w:szCs w:val="28"/>
          <w:lang w:eastAsia="ru-RU"/>
        </w:rPr>
        <w:t>официально</w:t>
      </w:r>
      <w:r w:rsidR="00F9147A">
        <w:rPr>
          <w:rFonts w:ascii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опубликовани</w:t>
      </w:r>
      <w:r w:rsidR="00F9147A">
        <w:rPr>
          <w:rFonts w:ascii="Times New Roman" w:hAnsi="Times New Roman" w:cs="Times New Roman"/>
          <w:sz w:val="28"/>
          <w:szCs w:val="28"/>
          <w:lang w:eastAsia="ru-RU"/>
        </w:rPr>
        <w:t>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2391C" w:rsidRPr="00A2391C" w:rsidRDefault="00A2391C" w:rsidP="008B1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0018" w:rsidRDefault="00A2391C" w:rsidP="008B1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П.П.</w:t>
      </w:r>
    </w:p>
    <w:p w:rsidR="00A2391C" w:rsidRDefault="00A2391C" w:rsidP="002C0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7E5" w:rsidRDefault="000F03AA" w:rsidP="002C0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И.о. </w:t>
      </w:r>
      <w:r w:rsidR="00290018" w:rsidRPr="00CA3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администрации</w:t>
      </w:r>
    </w:p>
    <w:p w:rsidR="000F03AA" w:rsidRPr="00CA36D5" w:rsidRDefault="000F03AA" w:rsidP="002C07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 «Спас-Деменский район                                                                   В.А. Бузанов</w:t>
      </w:r>
    </w:p>
    <w:p w:rsidR="006512CD" w:rsidRPr="006512CD" w:rsidRDefault="006512CD" w:rsidP="006512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2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6512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6512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района</w:t>
      </w:r>
      <w:r w:rsidRPr="006512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="00287935" w:rsidRPr="0028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Спас-Деменский</w:t>
      </w:r>
      <w:r w:rsidRPr="00651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район»</w:t>
      </w:r>
      <w:r w:rsidRPr="006512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64CC1" w:rsidRPr="00B64CC1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87935" w:rsidRPr="00B64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4CC1" w:rsidRPr="00B64CC1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287935" w:rsidRPr="00B64CC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64CC1" w:rsidRPr="00B64C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7935" w:rsidRPr="00B6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64CC1" w:rsidRPr="00B64CC1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6512CD" w:rsidRPr="006512CD" w:rsidRDefault="006512CD" w:rsidP="006512C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12CD" w:rsidRPr="006B6A12" w:rsidRDefault="006512CD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  <w:r w:rsidRPr="006B6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«Обеспечение безопасности жизнедеятельности</w:t>
      </w:r>
      <w:r w:rsidRPr="006B6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proofErr w:type="gramStart"/>
      <w:r w:rsidRPr="006B6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proofErr w:type="gramEnd"/>
      <w:r w:rsidRPr="006B6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Pr="006B6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территорий</w:t>
      </w:r>
      <w:proofErr w:type="gramEnd"/>
      <w:r w:rsidRPr="006B6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«</w:t>
      </w:r>
      <w:r w:rsidR="008265D2" w:rsidRPr="006B6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Спас-Деменский</w:t>
      </w:r>
      <w:r w:rsidRPr="006B6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район»</w:t>
      </w:r>
    </w:p>
    <w:p w:rsidR="006512CD" w:rsidRPr="006B6A12" w:rsidRDefault="006512CD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A1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муниципальная программа)</w:t>
      </w:r>
    </w:p>
    <w:p w:rsidR="00DE72F7" w:rsidRPr="006B6A12" w:rsidRDefault="00DE72F7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72F7" w:rsidRPr="006B6A12" w:rsidRDefault="00DE72F7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A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 муниципальной программы</w:t>
      </w:r>
    </w:p>
    <w:p w:rsidR="006512CD" w:rsidRPr="006B6A12" w:rsidRDefault="006512CD" w:rsidP="006512C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80"/>
        <w:gridCol w:w="1651"/>
        <w:gridCol w:w="1276"/>
        <w:gridCol w:w="850"/>
        <w:gridCol w:w="1134"/>
        <w:gridCol w:w="993"/>
        <w:gridCol w:w="992"/>
        <w:gridCol w:w="850"/>
      </w:tblGrid>
      <w:tr w:rsidR="006512CD" w:rsidRPr="006B6A12" w:rsidTr="00B74F12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D" w:rsidRPr="006B6A12" w:rsidRDefault="006512CD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44D51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Ответственный исполнитель муниципальной программы</w:t>
            </w:r>
          </w:p>
        </w:tc>
        <w:tc>
          <w:tcPr>
            <w:tcW w:w="7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CD" w:rsidRPr="006B6A12" w:rsidRDefault="00F82F71" w:rsidP="00FB7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2F71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 «Спас-Деменский район»</w:t>
            </w:r>
          </w:p>
        </w:tc>
      </w:tr>
      <w:tr w:rsidR="006512CD" w:rsidRPr="006B6A12" w:rsidTr="00B74F12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D" w:rsidRPr="006B6A12" w:rsidRDefault="00F82F71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544D51" w:rsidRPr="006E7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512CD" w:rsidRPr="006E7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Участники муниципальной программы</w:t>
            </w:r>
          </w:p>
        </w:tc>
        <w:tc>
          <w:tcPr>
            <w:tcW w:w="7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CD" w:rsidRPr="00F82F71" w:rsidRDefault="00F82F71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2F71">
              <w:rPr>
                <w:rFonts w:ascii="Times New Roman" w:hAnsi="Times New Roman" w:cs="Times New Roman"/>
                <w:sz w:val="24"/>
              </w:rPr>
              <w:t>Отдел ГОЧС, мобилизационной подготовки и ведения секретного делопроизводства Администрации МР «Спас-Деменский район»</w:t>
            </w:r>
          </w:p>
        </w:tc>
      </w:tr>
      <w:tr w:rsidR="006512CD" w:rsidRPr="006B6A12" w:rsidTr="00B74F12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D" w:rsidRPr="006B6A12" w:rsidRDefault="00F82F71" w:rsidP="00F82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44D51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512CD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6512CD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программы</w:t>
            </w:r>
          </w:p>
        </w:tc>
        <w:tc>
          <w:tcPr>
            <w:tcW w:w="7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2CD" w:rsidRPr="006B6A12" w:rsidRDefault="00F82F71" w:rsidP="00C76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2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и поддержание в высокой степени готовности сил и сре</w:t>
            </w:r>
            <w:proofErr w:type="gramStart"/>
            <w:r w:rsidRPr="00F82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дств гр</w:t>
            </w:r>
            <w:proofErr w:type="gramEnd"/>
            <w:r w:rsidRPr="00F82F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ажданской обороны, защита населения и территории, минимизация последствий, наносимых населению и экономике чрезвычайными ситуациями природного и техногенного характера, обеспечение пожарной безопасности, безопасности людей на водных объектах, антитеррористической защищенности, мобилизационной готовности на территории МР «Спас-Деменский район»</w:t>
            </w:r>
          </w:p>
        </w:tc>
      </w:tr>
      <w:tr w:rsidR="006512CD" w:rsidRPr="006B6A12" w:rsidTr="00B74F12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D" w:rsidRPr="006B6A12" w:rsidRDefault="00F82F71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544D51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512CD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Задачи муниципальной программы</w:t>
            </w:r>
          </w:p>
        </w:tc>
        <w:tc>
          <w:tcPr>
            <w:tcW w:w="7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FBC" w:rsidRDefault="00B96FBC" w:rsidP="00B9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FB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3A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96FBC">
              <w:rPr>
                <w:rFonts w:ascii="Times New Roman" w:hAnsi="Times New Roman" w:cs="Times New Roman"/>
                <w:sz w:val="26"/>
                <w:szCs w:val="26"/>
              </w:rPr>
              <w:t>беспечение предупреждения и ликвидации ЧС, пожаров и происшествий на водных объектах на территории муниципального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96FBC" w:rsidRDefault="00B96FBC" w:rsidP="00B9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63A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6FBC">
              <w:rPr>
                <w:rFonts w:ascii="Times New Roman" w:hAnsi="Times New Roman" w:cs="Times New Roman"/>
                <w:sz w:val="26"/>
                <w:szCs w:val="26"/>
              </w:rPr>
              <w:t>совершенствование деятельности органов управления ГО, районного звена ТП РСЧС Калужской области;</w:t>
            </w:r>
          </w:p>
          <w:p w:rsidR="00963A59" w:rsidRDefault="00963A59" w:rsidP="00B9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A59">
              <w:rPr>
                <w:rFonts w:ascii="Times New Roman" w:hAnsi="Times New Roman" w:cs="Times New Roman"/>
                <w:sz w:val="26"/>
                <w:szCs w:val="26"/>
              </w:rPr>
              <w:t>- обеспечение и поддержание высокой готовности сил и средств ГО, районного звена ТП РСЧС Калужской области;</w:t>
            </w:r>
          </w:p>
          <w:p w:rsidR="00963A59" w:rsidRDefault="00963A59" w:rsidP="00B9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A5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322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3A59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мер по обеспечению безопасности людей на водных объектах;</w:t>
            </w:r>
          </w:p>
          <w:p w:rsidR="00B96FBC" w:rsidRPr="00B96FBC" w:rsidRDefault="0003222E" w:rsidP="0003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-</w:t>
            </w:r>
            <w:r w:rsidRPr="0003222E">
              <w:rPr>
                <w:rFonts w:ascii="Times New Roman" w:hAnsi="Times New Roman" w:cs="Times New Roman"/>
                <w:sz w:val="26"/>
                <w:szCs w:val="26"/>
              </w:rPr>
              <w:t>решает задачу «Обеспечение повышения уровня защищенности населения и территории муниципального района от пожаров</w:t>
            </w:r>
          </w:p>
        </w:tc>
      </w:tr>
      <w:tr w:rsidR="006512CD" w:rsidRPr="006B6A12" w:rsidTr="00B74F12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2CD" w:rsidRPr="006B6A12" w:rsidRDefault="009C67FB" w:rsidP="00136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544D51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B97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6E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Основные мероприятия муниципальной  </w:t>
            </w:r>
            <w:r w:rsidR="00B97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программы </w:t>
            </w:r>
          </w:p>
        </w:tc>
        <w:tc>
          <w:tcPr>
            <w:tcW w:w="7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ED1" w:rsidRPr="00FF7F98" w:rsidRDefault="00136ED1" w:rsidP="00136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7F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FF7F98">
              <w:rPr>
                <w:rFonts w:ascii="Times New Roman" w:hAnsi="Times New Roman" w:cs="Times New Roman"/>
                <w:sz w:val="26"/>
                <w:szCs w:val="26"/>
              </w:rPr>
              <w:t>частие в предупреждении и ликвидации последствий ЧС на территории муниципального района</w:t>
            </w:r>
            <w:r w:rsidRPr="00FF7F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36ED1" w:rsidRPr="00FF7F98" w:rsidRDefault="00136ED1" w:rsidP="00136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7F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F7F98">
              <w:rPr>
                <w:rFonts w:ascii="Times New Roman" w:hAnsi="Times New Roman" w:cs="Times New Roman"/>
                <w:sz w:val="26"/>
                <w:szCs w:val="26"/>
              </w:rPr>
              <w:t>рганизация и осуществление мероприятий по территориальной обороне и ГО, защите населения и территории муниципального района от ЧС</w:t>
            </w:r>
            <w:r w:rsidRPr="00FF7F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36ED1" w:rsidRPr="00FF7F98" w:rsidRDefault="00136ED1" w:rsidP="00136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7F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создание, содержание и организация деятельности районного звена ТП РСЧС Калужской области;</w:t>
            </w:r>
          </w:p>
          <w:p w:rsidR="00136ED1" w:rsidRPr="00FF7F98" w:rsidRDefault="00136ED1" w:rsidP="00136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7F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осуществление мероприятий по обеспечению безопасности людей на водных объектах, охране их жизни и здоровья;</w:t>
            </w:r>
          </w:p>
          <w:p w:rsidR="00F82F71" w:rsidRPr="006B6A12" w:rsidRDefault="00136ED1" w:rsidP="00F37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7F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 обеспечение первичных мер пожарной безопасности в границах муниципального района за границами городских и сельских населенных пунктов</w:t>
            </w:r>
          </w:p>
        </w:tc>
      </w:tr>
      <w:tr w:rsidR="00A53910" w:rsidRPr="006B6A12" w:rsidTr="00B74F12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EC44F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  <w:r w:rsidR="00A53910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Индикаторы муниципальной программы</w:t>
            </w:r>
          </w:p>
        </w:tc>
        <w:tc>
          <w:tcPr>
            <w:tcW w:w="7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об индикаторах муниципальной программы по годам представлены в разделе 2 «Индикаторы достижения целей и решения задач муниципальной программы»</w:t>
            </w:r>
          </w:p>
        </w:tc>
      </w:tr>
      <w:tr w:rsidR="00A53910" w:rsidRPr="006B6A12" w:rsidTr="00B74F12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EC44F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A53910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 Сроки и этапы реализации муниципальной программы</w:t>
            </w:r>
          </w:p>
        </w:tc>
        <w:tc>
          <w:tcPr>
            <w:tcW w:w="7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10" w:rsidRPr="006B6A12" w:rsidRDefault="00A53910" w:rsidP="00B31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B313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- 202</w:t>
            </w:r>
            <w:r w:rsidR="00B313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годы, в один этап</w:t>
            </w:r>
          </w:p>
        </w:tc>
      </w:tr>
      <w:tr w:rsidR="00A53910" w:rsidRPr="006B6A12" w:rsidTr="00D5291D">
        <w:trPr>
          <w:cantSplit/>
        </w:trPr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EC44F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A53910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Объемы финансирования муниципальной программы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(тыс. руб.)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по годам и источникам финансирования:</w:t>
            </w:r>
          </w:p>
        </w:tc>
      </w:tr>
      <w:tr w:rsidR="00A53910" w:rsidRPr="006B6A12" w:rsidTr="00D5291D">
        <w:trPr>
          <w:cantSplit/>
        </w:trPr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AE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AE44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AE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AE44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AE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AE44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AE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AE44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10" w:rsidRPr="006B6A12" w:rsidRDefault="00A53910" w:rsidP="00AE4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AE44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A53910" w:rsidRPr="006B6A12" w:rsidTr="00D5291D">
        <w:trPr>
          <w:cantSplit/>
        </w:trPr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D3475C" w:rsidP="00CB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CB28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  <w:r w:rsidR="00F51D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E70DB2" w:rsidP="006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684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68423A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  <w:r w:rsidR="00051B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F42895" w:rsidP="006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684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F42895" w:rsidP="006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684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10" w:rsidRPr="006B6A12" w:rsidRDefault="00F42895" w:rsidP="006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684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24,7</w:t>
            </w:r>
          </w:p>
        </w:tc>
      </w:tr>
      <w:tr w:rsidR="00A53910" w:rsidRPr="006B6A12" w:rsidTr="00D5291D">
        <w:trPr>
          <w:cantSplit/>
        </w:trPr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53910" w:rsidRPr="006B6A12" w:rsidTr="00D5291D">
        <w:trPr>
          <w:cantSplit/>
        </w:trPr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A53910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025F0A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муниципального</w:t>
            </w:r>
            <w:r w:rsidR="00A53910"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D3475C" w:rsidP="00CB2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CB28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  <w:r w:rsidR="00F51D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9822AF" w:rsidP="006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6842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051B75" w:rsidP="002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282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F42895" w:rsidP="002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282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10" w:rsidRPr="006B6A12" w:rsidRDefault="00F42895" w:rsidP="002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282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10" w:rsidRPr="006B6A12" w:rsidRDefault="00F42895" w:rsidP="00282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282D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24,7</w:t>
            </w:r>
          </w:p>
        </w:tc>
      </w:tr>
    </w:tbl>
    <w:p w:rsidR="00B01DC9" w:rsidRDefault="00B01DC9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3E8A" w:rsidRDefault="00823E8A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</w:t>
      </w:r>
      <w:r w:rsidR="006512CD" w:rsidRPr="00651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Приоритеты муниципальной политики</w:t>
      </w:r>
    </w:p>
    <w:p w:rsidR="006512CD" w:rsidRPr="006512CD" w:rsidRDefault="006512CD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сфере реализации муниципальной программы</w:t>
      </w:r>
    </w:p>
    <w:p w:rsidR="006512CD" w:rsidRPr="006512CD" w:rsidRDefault="006512CD" w:rsidP="006512C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512CD" w:rsidRP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 сформирована в соответствии с приоритетами, определенными стратегическими документами Российской Федерации.</w:t>
      </w:r>
    </w:p>
    <w:p w:rsidR="006512CD" w:rsidRP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Российской Федерации от 31.12.2015 № 683 «О Стратегии национальной безопасности Российской Федерации», Указом Президента Российской Федерации от 20.12.2016 № 696 «Об утверждении Основ государственной политики Российской Федерации в области гражданской обороны на период до 2030 года», Указом Президента Российской Федерации от 01.01.2018 № 2 «Об утверждении Основ государственной политики Российской Федерации в области пожарной безопасности на период до</w:t>
      </w:r>
      <w:proofErr w:type="gramEnd"/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2030 года», Указом Президента Российской Федерации от 11.01.2018 № 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 приоритетами в сфере реализации муниципальной программы следует считать:</w:t>
      </w:r>
    </w:p>
    <w:p w:rsidR="006512CD" w:rsidRP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повышение </w:t>
      </w:r>
      <w:proofErr w:type="gramStart"/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эффективности реализации полномочий органов местного самоуправления</w:t>
      </w:r>
      <w:proofErr w:type="gramEnd"/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обеспечения безопасности жизнедеятельности населения;</w:t>
      </w:r>
    </w:p>
    <w:p w:rsidR="006512CD" w:rsidRP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принятие мер по защите населения от ЧС, а также по снижению риска их возникновения;</w:t>
      </w:r>
    </w:p>
    <w:p w:rsidR="006512CD" w:rsidRP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- разработка и реализация планов действий по предупреждению и ликвидации ЧС;</w:t>
      </w:r>
    </w:p>
    <w:p w:rsidR="006512CD" w:rsidRP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- создание резервов финансовых и материальных ресурсов для ликвидации ЧС;</w:t>
      </w:r>
    </w:p>
    <w:p w:rsidR="006512CD" w:rsidRP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- разработка и реализация планов гражданской обороны и защиты населения;</w:t>
      </w:r>
    </w:p>
    <w:p w:rsidR="006512CD" w:rsidRP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- создание в целях гражданской обороны запасов материально-технических, продовольственных, медицинских и иных средств;</w:t>
      </w:r>
    </w:p>
    <w:p w:rsidR="006512CD" w:rsidRP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- создание, размещение, обеспечение эффективного функционирования и развития подразделений муниципальной и добровольной пожарной охраны;</w:t>
      </w:r>
    </w:p>
    <w:p w:rsidR="006512CD" w:rsidRP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- организация мероприятий по обеспечению пожарной безопасности на территории муниципального района;</w:t>
      </w:r>
    </w:p>
    <w:p w:rsid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- осуществление взаимодействия с организациями и гражданами в области пожарной безопасности, организация обучения населения мерам пожарной без</w:t>
      </w:r>
      <w:r w:rsidR="002C5CF7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опасности;</w:t>
      </w:r>
    </w:p>
    <w:p w:rsidR="002C5CF7" w:rsidRDefault="002C5CF7" w:rsidP="002C5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Pr="002C5CF7">
        <w:rPr>
          <w:rFonts w:ascii="Times New Roman" w:hAnsi="Times New Roman" w:cs="Times New Roman"/>
          <w:sz w:val="26"/>
          <w:szCs w:val="26"/>
        </w:rPr>
        <w:t>частие в профилактике терроризма и экстремизма, а также в минимизации и (или) ликвидации последствий проявлений терроризма и экстремизма в рамках реализации аппаратно-программного комплекса "Безопасный город" на территории Спас-Деменского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3F12" w:rsidRDefault="00023F12" w:rsidP="002C5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12CD" w:rsidRDefault="002978E3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2. </w:t>
      </w:r>
      <w:r w:rsidR="00965B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Цели, задачи и и</w:t>
      </w:r>
      <w:r w:rsidR="006512CD" w:rsidRPr="00651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ндикаторы </w:t>
      </w:r>
      <w:r w:rsidR="00965B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(показатели) </w:t>
      </w:r>
      <w:r w:rsidR="006512CD" w:rsidRPr="00651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достижения целей и решения задач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512CD" w:rsidRPr="00651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программы</w:t>
      </w:r>
    </w:p>
    <w:p w:rsidR="004A0575" w:rsidRDefault="004A0575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A0575" w:rsidRDefault="004A0575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 цели, задачи муниципальной программы</w:t>
      </w:r>
    </w:p>
    <w:p w:rsidR="004A0575" w:rsidRDefault="004A0575" w:rsidP="00651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5B2D" w:rsidRDefault="00965B2D" w:rsidP="00965B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целями программы являются обеспечение необходимых условий для безопасности жизнедеятельности населения, сокращения материальных потерь от ЧС, повышения качества подготовки населения в области ГО; выполнение мероприятий по безопасности людей при пользовании зонами рекреации водных объектов и защита населения от террористических актов.</w:t>
      </w:r>
    </w:p>
    <w:p w:rsidR="00965B2D" w:rsidRDefault="00965B2D" w:rsidP="008371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Достижение поставленных целей обеспечивается решением следующих задач:</w:t>
      </w:r>
    </w:p>
    <w:p w:rsidR="0083712C" w:rsidRPr="006B6A12" w:rsidRDefault="0083712C" w:rsidP="008371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A12">
        <w:rPr>
          <w:rFonts w:ascii="Times New Roman" w:eastAsia="Times New Roman" w:hAnsi="Times New Roman" w:cs="Times New Roman"/>
          <w:sz w:val="26"/>
          <w:szCs w:val="26"/>
          <w:lang w:eastAsia="ru-RU"/>
        </w:rPr>
        <w:t>- Обеспечение предупреждения и ликвидации ЧС, пожаров и происшествий на водных объектах на территории муниципального района;</w:t>
      </w:r>
    </w:p>
    <w:p w:rsidR="0083712C" w:rsidRPr="006B6A12" w:rsidRDefault="0083712C" w:rsidP="008371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A12">
        <w:rPr>
          <w:rFonts w:ascii="Times New Roman" w:eastAsia="Times New Roman" w:hAnsi="Times New Roman" w:cs="Times New Roman"/>
          <w:sz w:val="26"/>
          <w:szCs w:val="26"/>
          <w:lang w:eastAsia="ru-RU"/>
        </w:rPr>
        <w:t>- совершенствование деятельности органов управления гражданской обороны (далее – ГО), районного звена территориальной подсистемы единой государственной системы предупреждения и ликвидации чрезвычайных ситуаций Калужской области (далее – районное звено ТП РСЧС Калужской области);</w:t>
      </w:r>
    </w:p>
    <w:p w:rsidR="0083712C" w:rsidRPr="006B6A12" w:rsidRDefault="0083712C" w:rsidP="008371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A12">
        <w:rPr>
          <w:rFonts w:ascii="Times New Roman" w:eastAsia="Times New Roman" w:hAnsi="Times New Roman" w:cs="Times New Roman"/>
          <w:sz w:val="26"/>
          <w:szCs w:val="26"/>
          <w:lang w:eastAsia="ru-RU"/>
        </w:rPr>
        <w:t>- обеспечение и поддержание высокой готовности сил и средств ГО, районного звена ТП РСЧС Калужской области;</w:t>
      </w:r>
    </w:p>
    <w:p w:rsidR="0083712C" w:rsidRDefault="0083712C" w:rsidP="008371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A12">
        <w:rPr>
          <w:rFonts w:ascii="Times New Roman" w:eastAsia="Times New Roman" w:hAnsi="Times New Roman" w:cs="Times New Roman"/>
          <w:sz w:val="26"/>
          <w:szCs w:val="26"/>
          <w:lang w:eastAsia="ru-RU"/>
        </w:rPr>
        <w:t>- повышение эффективности мер по обеспечению безопасности людей на водных объектах;</w:t>
      </w:r>
    </w:p>
    <w:p w:rsidR="009A5708" w:rsidRDefault="0083712C" w:rsidP="008371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A12">
        <w:rPr>
          <w:rFonts w:ascii="Times New Roman" w:eastAsia="Times New Roman" w:hAnsi="Times New Roman" w:cs="Times New Roman"/>
          <w:sz w:val="26"/>
          <w:szCs w:val="26"/>
          <w:lang w:eastAsia="ru-RU"/>
        </w:rPr>
        <w:t>- обеспечение повышения уровня защищенности населения и территории муниципального района от пожаров</w:t>
      </w:r>
      <w:r w:rsidR="009A570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65B2D" w:rsidRPr="00B02FDA" w:rsidRDefault="00F26C5D" w:rsidP="00B02FDA">
      <w:pPr>
        <w:autoSpaceDE w:val="0"/>
        <w:autoSpaceDN w:val="0"/>
        <w:adjustRightInd w:val="0"/>
        <w:spacing w:before="260"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2.2 </w:t>
      </w:r>
      <w:r w:rsidR="004A0575">
        <w:rPr>
          <w:rFonts w:ascii="Times New Roman" w:hAnsi="Times New Roman" w:cs="Times New Roman"/>
          <w:b/>
          <w:sz w:val="26"/>
          <w:szCs w:val="26"/>
        </w:rPr>
        <w:t>Индикаторы (показатели) достижения целей и решения задач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 </w:t>
      </w:r>
      <w:r w:rsidR="004A05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512CD" w:rsidRPr="006512CD" w:rsidRDefault="006512CD" w:rsidP="006512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12CD" w:rsidRDefault="006512CD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C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реализации муниципальной программы будут ежегодно оцениваться на основании следующих индикаторов:</w:t>
      </w:r>
    </w:p>
    <w:p w:rsidR="00277496" w:rsidRDefault="00277496" w:rsidP="00651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12CD" w:rsidRPr="006512CD" w:rsidRDefault="006512CD" w:rsidP="006512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1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3"/>
        <w:gridCol w:w="4536"/>
        <w:gridCol w:w="851"/>
        <w:gridCol w:w="709"/>
        <w:gridCol w:w="708"/>
        <w:gridCol w:w="709"/>
        <w:gridCol w:w="709"/>
        <w:gridCol w:w="709"/>
        <w:gridCol w:w="708"/>
      </w:tblGrid>
      <w:tr w:rsidR="006512CD" w:rsidRPr="006512CD" w:rsidTr="00B74F12">
        <w:trPr>
          <w:cantSplit/>
          <w:tblHeader/>
        </w:trPr>
        <w:tc>
          <w:tcPr>
            <w:tcW w:w="533" w:type="dxa"/>
            <w:vMerge w:val="restart"/>
            <w:vAlign w:val="center"/>
          </w:tcPr>
          <w:p w:rsidR="006512CD" w:rsidRPr="006512CD" w:rsidRDefault="006512C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6512CD" w:rsidRPr="006512CD" w:rsidRDefault="006512C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6512CD" w:rsidRPr="006512CD" w:rsidRDefault="006512C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Ед. </w:t>
            </w:r>
            <w:proofErr w:type="spellStart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</w:t>
            </w:r>
            <w:proofErr w:type="spellEnd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2" w:type="dxa"/>
            <w:gridSpan w:val="6"/>
            <w:vAlign w:val="center"/>
          </w:tcPr>
          <w:p w:rsidR="006512CD" w:rsidRPr="006512CD" w:rsidRDefault="006512C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Значения по годам</w:t>
            </w:r>
          </w:p>
        </w:tc>
      </w:tr>
      <w:tr w:rsidR="006512CD" w:rsidRPr="006512CD" w:rsidTr="00B74F12">
        <w:trPr>
          <w:cantSplit/>
          <w:tblHeader/>
        </w:trPr>
        <w:tc>
          <w:tcPr>
            <w:tcW w:w="533" w:type="dxa"/>
            <w:vMerge/>
            <w:vAlign w:val="center"/>
          </w:tcPr>
          <w:p w:rsidR="006512CD" w:rsidRPr="006512CD" w:rsidRDefault="006512CD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:rsidR="006512CD" w:rsidRPr="006512CD" w:rsidRDefault="006512CD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512CD" w:rsidRPr="006512CD" w:rsidRDefault="006512CD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512CD" w:rsidRPr="006512CD" w:rsidRDefault="006512CD" w:rsidP="00D0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D026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  <w:gridSpan w:val="5"/>
            <w:vAlign w:val="center"/>
          </w:tcPr>
          <w:p w:rsidR="006512CD" w:rsidRPr="006512CD" w:rsidRDefault="006512C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</w:tr>
      <w:tr w:rsidR="006512CD" w:rsidRPr="006512CD" w:rsidTr="00B74F12">
        <w:trPr>
          <w:cantSplit/>
          <w:tblHeader/>
        </w:trPr>
        <w:tc>
          <w:tcPr>
            <w:tcW w:w="533" w:type="dxa"/>
            <w:vMerge/>
            <w:vAlign w:val="center"/>
          </w:tcPr>
          <w:p w:rsidR="006512CD" w:rsidRPr="006512CD" w:rsidRDefault="006512CD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:rsidR="006512CD" w:rsidRPr="006512CD" w:rsidRDefault="006512CD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512CD" w:rsidRPr="006512CD" w:rsidRDefault="006512CD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6512CD" w:rsidRPr="006512CD" w:rsidRDefault="006512CD" w:rsidP="0065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512CD" w:rsidRPr="006512CD" w:rsidRDefault="006512CD" w:rsidP="00D0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D026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6512CD" w:rsidRPr="006512CD" w:rsidRDefault="006512CD" w:rsidP="00D0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D026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6512CD" w:rsidRPr="006512CD" w:rsidRDefault="006512CD" w:rsidP="00D0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D026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6512CD" w:rsidRPr="006512CD" w:rsidRDefault="006512CD" w:rsidP="00D0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D026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6512CD" w:rsidRPr="006512CD" w:rsidRDefault="006512CD" w:rsidP="00D0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D026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512CD" w:rsidRPr="006512CD" w:rsidTr="00B74F12">
        <w:trPr>
          <w:cantSplit/>
        </w:trPr>
        <w:tc>
          <w:tcPr>
            <w:tcW w:w="10172" w:type="dxa"/>
            <w:gridSpan w:val="9"/>
            <w:vAlign w:val="center"/>
          </w:tcPr>
          <w:p w:rsidR="006512CD" w:rsidRPr="006512CD" w:rsidRDefault="006512C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 Участие в предупреждении и ликвидации последствий ЧС</w:t>
            </w:r>
            <w:r w:rsidRPr="006512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на территории муниципального района</w:t>
            </w:r>
          </w:p>
        </w:tc>
      </w:tr>
      <w:tr w:rsidR="00A7424E" w:rsidRPr="006512CD" w:rsidTr="003C296D">
        <w:trPr>
          <w:cantSplit/>
        </w:trPr>
        <w:tc>
          <w:tcPr>
            <w:tcW w:w="533" w:type="dxa"/>
            <w:vAlign w:val="center"/>
          </w:tcPr>
          <w:p w:rsidR="00A7424E" w:rsidRPr="006512CD" w:rsidRDefault="00A7424E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536" w:type="dxa"/>
            <w:vAlign w:val="center"/>
          </w:tcPr>
          <w:p w:rsidR="00A7424E" w:rsidRPr="006512CD" w:rsidRDefault="00A7424E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готовности МКУ «ЕДДС» к действиям по предназначению</w:t>
            </w:r>
          </w:p>
        </w:tc>
        <w:tc>
          <w:tcPr>
            <w:tcW w:w="851" w:type="dxa"/>
            <w:vAlign w:val="center"/>
          </w:tcPr>
          <w:p w:rsidR="00A7424E" w:rsidRPr="006512CD" w:rsidRDefault="00A7424E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A7424E" w:rsidRPr="00395C58" w:rsidRDefault="00A7424E" w:rsidP="003C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A7424E" w:rsidRPr="004D6394" w:rsidRDefault="00A7424E" w:rsidP="003C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9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A7424E" w:rsidRPr="004D6394" w:rsidRDefault="00A7424E" w:rsidP="003C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9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A7424E" w:rsidRPr="004D6394" w:rsidRDefault="00A7424E" w:rsidP="003C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9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A7424E" w:rsidRPr="004D6394" w:rsidRDefault="00A7424E" w:rsidP="003C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9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A7424E" w:rsidRPr="004D6394" w:rsidRDefault="00A7424E" w:rsidP="003C2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93E25" w:rsidRPr="006512CD" w:rsidTr="004F4543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районного звена ТП РСЧС Калужской области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709" w:type="dxa"/>
            <w:vAlign w:val="center"/>
          </w:tcPr>
          <w:p w:rsidR="00C93E25" w:rsidRPr="00395C58" w:rsidRDefault="00C93E25" w:rsidP="004F4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C93E25" w:rsidRPr="00395C58" w:rsidRDefault="00C93E25" w:rsidP="004F4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C93E25" w:rsidRPr="00395C58" w:rsidRDefault="00C93E25" w:rsidP="004F4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C93E25" w:rsidRPr="00395C58" w:rsidRDefault="00C93E25" w:rsidP="004F4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C93E25" w:rsidRPr="00395C58" w:rsidRDefault="00C93E25" w:rsidP="004F4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C93E25" w:rsidRPr="00395C58" w:rsidRDefault="00C93E25" w:rsidP="004F4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93E25" w:rsidRPr="006512CD" w:rsidTr="004F4543">
        <w:trPr>
          <w:cantSplit/>
          <w:trHeight w:val="687"/>
        </w:trPr>
        <w:tc>
          <w:tcPr>
            <w:tcW w:w="533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готовности пунктов временного размещения (далее – ПВР) к приему населения, эвакуируемого при ЧС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6512CD" w:rsidRDefault="00B209ED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C93E25" w:rsidRPr="006512CD" w:rsidRDefault="00B209ED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C93E25" w:rsidRPr="006512CD" w:rsidRDefault="00B209ED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709" w:type="dxa"/>
            <w:vAlign w:val="center"/>
          </w:tcPr>
          <w:p w:rsidR="00C93E25" w:rsidRPr="006512CD" w:rsidRDefault="00B209ED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709" w:type="dxa"/>
            <w:vAlign w:val="center"/>
          </w:tcPr>
          <w:p w:rsidR="00C93E25" w:rsidRPr="006512CD" w:rsidRDefault="00B209ED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708" w:type="dxa"/>
            <w:vAlign w:val="center"/>
          </w:tcPr>
          <w:p w:rsidR="00C93E25" w:rsidRPr="006512CD" w:rsidRDefault="00B209ED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  <w:tr w:rsidR="00C93E25" w:rsidRPr="006512CD" w:rsidTr="004F4543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1.4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созданных резервов материальных ресурсов для ликвидации ЧС на территории муниципального района, </w:t>
            </w:r>
            <w:proofErr w:type="gramStart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proofErr w:type="gramEnd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необходимого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23445B" w:rsidRDefault="0023445B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C93E25" w:rsidRPr="0023445B" w:rsidRDefault="0023445B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C93E25" w:rsidRPr="0023445B" w:rsidRDefault="0023445B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C93E25" w:rsidRPr="0023445B" w:rsidRDefault="0023445B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C93E25" w:rsidRPr="0023445B" w:rsidRDefault="0023445B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C93E25" w:rsidRPr="0023445B" w:rsidRDefault="0023445B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4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C93E25" w:rsidRPr="006512CD" w:rsidTr="004F4543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D02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Сокращение числа вызовов на номер «112» от населения муниципального района, переадресованных из МКУ «ЕДДС» в Центр обработки вызовов системы-112 Калужской области (далее – ЦОВ-112) (к</w:t>
            </w: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уровню 202</w:t>
            </w:r>
            <w:r w:rsidR="00D026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года)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6512CD" w:rsidRDefault="00642D0B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C93E25" w:rsidRPr="006512CD" w:rsidRDefault="00E63C9D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09" w:type="dxa"/>
            <w:vAlign w:val="center"/>
          </w:tcPr>
          <w:p w:rsidR="00C93E25" w:rsidRPr="006512CD" w:rsidRDefault="00E63C9D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:rsidR="00C93E25" w:rsidRPr="006512CD" w:rsidRDefault="00E63C9D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:rsidR="00C93E25" w:rsidRPr="006512CD" w:rsidRDefault="00E63C9D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C93E25" w:rsidRPr="006512CD" w:rsidRDefault="00642D0B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93E25" w:rsidRPr="006512CD" w:rsidTr="004F4543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камер фот</w:t>
            </w:r>
            <w:proofErr w:type="gramStart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о-</w:t>
            </w:r>
            <w:proofErr w:type="gramEnd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видеофиксации, подключенных к аппаратно-программному комплексу «Безопасный город» (далее – АПК «Безопасный город»), от общего числа камер, запланированных к подключению на территории муниципального района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6512CD" w:rsidRDefault="0067323E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C93E25" w:rsidRPr="006512CD" w:rsidRDefault="0067323E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C93E25" w:rsidRPr="006512CD" w:rsidRDefault="0067323E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C93E25" w:rsidRPr="006512CD" w:rsidRDefault="0067323E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09" w:type="dxa"/>
            <w:vAlign w:val="center"/>
          </w:tcPr>
          <w:p w:rsidR="00C93E25" w:rsidRPr="006512CD" w:rsidRDefault="0067323E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C93E25" w:rsidRPr="006512CD" w:rsidRDefault="0067323E" w:rsidP="004F4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C93E25" w:rsidRPr="006512CD" w:rsidTr="00B74F12">
        <w:trPr>
          <w:cantSplit/>
        </w:trPr>
        <w:tc>
          <w:tcPr>
            <w:tcW w:w="10172" w:type="dxa"/>
            <w:gridSpan w:val="9"/>
            <w:vAlign w:val="center"/>
          </w:tcPr>
          <w:p w:rsidR="004D2129" w:rsidRDefault="004D2129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 Организация и осуществление мероприятий по ГО,</w:t>
            </w:r>
            <w:r w:rsidRPr="006512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защите населения и территории муниципального района от ЧС</w:t>
            </w:r>
          </w:p>
        </w:tc>
      </w:tr>
      <w:tr w:rsidR="00C93E25" w:rsidRPr="006512CD" w:rsidTr="00B74F12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готовности муниципальной системы оповещения населения к использованию по предназначению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6512CD" w:rsidRDefault="0067323E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C93E25" w:rsidRPr="006512CD" w:rsidRDefault="0067323E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C93E25" w:rsidRPr="006512CD" w:rsidRDefault="0067323E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C93E25" w:rsidRPr="006512CD" w:rsidRDefault="0067323E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C93E25" w:rsidRPr="006512CD" w:rsidRDefault="0067323E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C93E25" w:rsidRPr="006512CD" w:rsidRDefault="0067323E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</w:tr>
      <w:tr w:rsidR="00C93E25" w:rsidRPr="006512CD" w:rsidTr="00B74F12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6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732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обеспеченности нештатных формирований по обеспечению выполнения мероприятий по ГО (далее – НФГО), создаваемых на МП, имуществом ГО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6512CD" w:rsidRDefault="00FD609A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C93E25" w:rsidRPr="006512CD" w:rsidRDefault="00FD609A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C93E25" w:rsidRPr="006512CD" w:rsidRDefault="00FD609A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C93E25" w:rsidRPr="006512CD" w:rsidRDefault="00FD609A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C93E25" w:rsidRPr="006512CD" w:rsidRDefault="00A40706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C93E25" w:rsidRPr="006512CD" w:rsidRDefault="00A40706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C93E25" w:rsidRPr="006512CD" w:rsidTr="00B74F12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6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6732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сформированных запасов, создаваемых в целях ГО, </w:t>
            </w:r>
            <w:proofErr w:type="gramStart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proofErr w:type="gramEnd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необходимого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6512CD" w:rsidRDefault="00323882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C93E25" w:rsidRPr="006512CD" w:rsidRDefault="00323882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C93E25" w:rsidRPr="006512CD" w:rsidRDefault="00323882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C93E25" w:rsidRPr="006512CD" w:rsidRDefault="00323882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09" w:type="dxa"/>
            <w:vAlign w:val="center"/>
          </w:tcPr>
          <w:p w:rsidR="00C93E25" w:rsidRPr="006512CD" w:rsidRDefault="00323882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C93E25" w:rsidRPr="006512CD" w:rsidRDefault="00323882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C93E25" w:rsidRPr="006512CD" w:rsidTr="00B74F12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6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6732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неработающего населения муниципального района, прошедшего подготовку в области ГО, защиты от ЧС, обеспечения пожарной безопасности и безопасности людей на водных объектах посредством учебно-консультационных пунктов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6512CD" w:rsidRDefault="00DD4344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708" w:type="dxa"/>
            <w:vAlign w:val="center"/>
          </w:tcPr>
          <w:p w:rsidR="00C93E25" w:rsidRPr="006512CD" w:rsidRDefault="00DD4344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09" w:type="dxa"/>
            <w:vAlign w:val="center"/>
          </w:tcPr>
          <w:p w:rsidR="00C93E25" w:rsidRPr="006512CD" w:rsidRDefault="00DD4344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709" w:type="dxa"/>
            <w:vAlign w:val="center"/>
          </w:tcPr>
          <w:p w:rsidR="00C93E25" w:rsidRPr="006512CD" w:rsidRDefault="00DD4344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709" w:type="dxa"/>
            <w:vAlign w:val="center"/>
          </w:tcPr>
          <w:p w:rsidR="00C93E25" w:rsidRPr="006512CD" w:rsidRDefault="00DD4344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C93E25" w:rsidRPr="006512CD" w:rsidRDefault="00DD4344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</w:tr>
      <w:tr w:rsidR="00C93E25" w:rsidRPr="006512CD" w:rsidTr="00B74F12">
        <w:trPr>
          <w:cantSplit/>
          <w:trHeight w:val="510"/>
        </w:trPr>
        <w:tc>
          <w:tcPr>
            <w:tcW w:w="10172" w:type="dxa"/>
            <w:gridSpan w:val="9"/>
            <w:vAlign w:val="center"/>
          </w:tcPr>
          <w:p w:rsidR="00C93E25" w:rsidRPr="006512CD" w:rsidRDefault="00C93E25" w:rsidP="00FD2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3. </w:t>
            </w:r>
            <w:r w:rsidR="00CC6702" w:rsidRPr="007864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Создание, содержание и организация </w:t>
            </w:r>
            <w:proofErr w:type="gramStart"/>
            <w:r w:rsidR="00CC6702" w:rsidRPr="007864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деятельности </w:t>
            </w:r>
            <w:r w:rsidR="00CC6702" w:rsidRPr="007864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районного звена территориальной подсистемы единой государственной системы предупреждения</w:t>
            </w:r>
            <w:proofErr w:type="gramEnd"/>
            <w:r w:rsidR="00CC6702" w:rsidRPr="007864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 ликвидации чрезвычайных ситуаций Калужской области</w:t>
            </w:r>
            <w:r w:rsidR="00CC6702" w:rsidRPr="006512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93E25" w:rsidRPr="006512CD" w:rsidTr="00B74F12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A22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A22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4A6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F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личного состава </w:t>
            </w:r>
            <w:r w:rsidR="00FA10AB" w:rsidRPr="004A6F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 ТПРСЧС муниципального района</w:t>
            </w:r>
            <w:r w:rsidRPr="004A6F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созданных на МП, прошедшего подготовку спасателей, от общей фактической численности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6512CD" w:rsidRDefault="00223EC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C93E25" w:rsidRPr="006512CD" w:rsidRDefault="00956E4F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C93E25" w:rsidRPr="006512CD" w:rsidRDefault="00956E4F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C93E25" w:rsidRPr="006512CD" w:rsidRDefault="00956E4F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:rsidR="00C93E25" w:rsidRPr="006512CD" w:rsidRDefault="00956E4F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C93E25" w:rsidRPr="006512CD" w:rsidRDefault="00711026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C93E25" w:rsidRPr="006512CD" w:rsidTr="00B74F12">
        <w:trPr>
          <w:cantSplit/>
        </w:trPr>
        <w:tc>
          <w:tcPr>
            <w:tcW w:w="10172" w:type="dxa"/>
            <w:gridSpan w:val="9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4. 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C93E25" w:rsidRPr="006512CD" w:rsidTr="00B74F12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традиционных мест массового отдыха населения на водных объектах на территории муниципального района, оборудованных спасательными постами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6512CD" w:rsidRDefault="0067685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C93E25" w:rsidRPr="006512CD" w:rsidRDefault="0067685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C93E25" w:rsidRPr="006512CD" w:rsidRDefault="0067685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C93E25" w:rsidRPr="006512CD" w:rsidRDefault="0067685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C93E25" w:rsidRPr="006512CD" w:rsidRDefault="0067685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C93E25" w:rsidRPr="006512CD" w:rsidRDefault="0067685D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C93E25" w:rsidRPr="006512CD" w:rsidTr="00B74F12">
        <w:trPr>
          <w:cantSplit/>
        </w:trPr>
        <w:tc>
          <w:tcPr>
            <w:tcW w:w="10172" w:type="dxa"/>
            <w:gridSpan w:val="9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 Обеспечение первичных мер пожарной безопасности в границах муниципального района за границами городских и сельских населенных пунктов</w:t>
            </w:r>
          </w:p>
        </w:tc>
      </w:tr>
      <w:tr w:rsidR="00C93E25" w:rsidRPr="006512CD" w:rsidTr="00B74F12">
        <w:trPr>
          <w:cantSplit/>
        </w:trPr>
        <w:tc>
          <w:tcPr>
            <w:tcW w:w="533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4536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Сокращение числа погибших вследствие пожаров на территории муниципального района (к уровню 202</w:t>
            </w: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года)</w:t>
            </w:r>
          </w:p>
        </w:tc>
        <w:tc>
          <w:tcPr>
            <w:tcW w:w="851" w:type="dxa"/>
            <w:vAlign w:val="center"/>
          </w:tcPr>
          <w:p w:rsidR="00C93E25" w:rsidRPr="006512CD" w:rsidRDefault="00C93E25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C93E25" w:rsidRPr="006512CD" w:rsidRDefault="00A3768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C93E25" w:rsidRPr="006512CD" w:rsidRDefault="00A544D9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3E25" w:rsidRPr="006512CD" w:rsidRDefault="00A544D9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3E25" w:rsidRPr="006512CD" w:rsidRDefault="00A544D9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3E25" w:rsidRPr="006512CD" w:rsidRDefault="00A544D9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C93E25" w:rsidRPr="006512CD" w:rsidRDefault="00A544D9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A37680" w:rsidRPr="006512CD" w:rsidTr="00B74F12">
        <w:trPr>
          <w:cantSplit/>
        </w:trPr>
        <w:tc>
          <w:tcPr>
            <w:tcW w:w="533" w:type="dxa"/>
            <w:vAlign w:val="center"/>
          </w:tcPr>
          <w:p w:rsidR="00A37680" w:rsidRPr="006512CD" w:rsidRDefault="00A3768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4536" w:type="dxa"/>
            <w:vAlign w:val="center"/>
          </w:tcPr>
          <w:p w:rsidR="00A37680" w:rsidRPr="006512CD" w:rsidRDefault="00A37680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Доля реализованных мероприятий по обеспечению первичных мер пожарной безопасности в границах муниципального района за границами городских и сельских населенных пунктов, </w:t>
            </w:r>
            <w:proofErr w:type="gramStart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proofErr w:type="gramEnd"/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запланированных</w:t>
            </w:r>
          </w:p>
        </w:tc>
        <w:tc>
          <w:tcPr>
            <w:tcW w:w="851" w:type="dxa"/>
            <w:vAlign w:val="center"/>
          </w:tcPr>
          <w:p w:rsidR="00A37680" w:rsidRPr="006512CD" w:rsidRDefault="00A3768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A37680" w:rsidRPr="006512CD" w:rsidRDefault="00A37680" w:rsidP="0096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A37680" w:rsidRPr="006512CD" w:rsidRDefault="00A37680" w:rsidP="0096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A37680" w:rsidRPr="006512CD" w:rsidRDefault="00A37680" w:rsidP="0096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A37680" w:rsidRPr="006512CD" w:rsidRDefault="00A37680" w:rsidP="0096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A37680" w:rsidRPr="006512CD" w:rsidRDefault="00A37680" w:rsidP="0096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A37680" w:rsidRPr="006512CD" w:rsidRDefault="00A37680" w:rsidP="0096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A37680" w:rsidRPr="006512CD" w:rsidTr="00B74F12">
        <w:trPr>
          <w:cantSplit/>
        </w:trPr>
        <w:tc>
          <w:tcPr>
            <w:tcW w:w="533" w:type="dxa"/>
            <w:vAlign w:val="center"/>
          </w:tcPr>
          <w:p w:rsidR="00A37680" w:rsidRPr="006512CD" w:rsidRDefault="00A3768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4536" w:type="dxa"/>
            <w:vAlign w:val="center"/>
          </w:tcPr>
          <w:p w:rsidR="00A37680" w:rsidRPr="006512CD" w:rsidRDefault="00A37680" w:rsidP="0065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пожаров на территории муниципального района, потушенных с привлечением подразделений добровольной пожарной охраны, от общего количества</w:t>
            </w:r>
          </w:p>
        </w:tc>
        <w:tc>
          <w:tcPr>
            <w:tcW w:w="851" w:type="dxa"/>
            <w:vAlign w:val="center"/>
          </w:tcPr>
          <w:p w:rsidR="00A37680" w:rsidRPr="006512CD" w:rsidRDefault="00A3768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12C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A37680" w:rsidRPr="006512CD" w:rsidRDefault="00A3768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A37680" w:rsidRPr="003F6470" w:rsidRDefault="003F6470" w:rsidP="00A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&gt;</w:t>
            </w:r>
            <w:r w:rsidR="00D62AE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37680" w:rsidRPr="003F6470" w:rsidRDefault="003F6470" w:rsidP="00A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&gt;</w:t>
            </w:r>
            <w:r w:rsidR="00D62AE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37680" w:rsidRPr="003F6470" w:rsidRDefault="003F6470" w:rsidP="0065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&gt;</w:t>
            </w:r>
            <w:r w:rsidR="00D62AE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37680" w:rsidRPr="003F6470" w:rsidRDefault="003F6470" w:rsidP="00A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&gt;</w:t>
            </w:r>
            <w:r w:rsidR="00D62AE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A37680" w:rsidRPr="003F6470" w:rsidRDefault="003F6470" w:rsidP="00A1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&gt;</w:t>
            </w:r>
            <w:r w:rsidR="00D62AE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</w:tr>
    </w:tbl>
    <w:p w:rsidR="006512CD" w:rsidRPr="006512CD" w:rsidRDefault="006512CD" w:rsidP="006512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0BFB" w:rsidRPr="005B5A58" w:rsidRDefault="002A0BFB" w:rsidP="009A0A5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A58">
        <w:rPr>
          <w:rFonts w:ascii="Times New Roman" w:hAnsi="Times New Roman" w:cs="Times New Roman"/>
          <w:b/>
          <w:sz w:val="28"/>
          <w:szCs w:val="28"/>
        </w:rPr>
        <w:t>Методика расчета индикаторов муниципальной программы:</w:t>
      </w:r>
    </w:p>
    <w:p w:rsidR="002A0BFB" w:rsidRPr="005B5A58" w:rsidRDefault="002A0BFB" w:rsidP="002A0BFB">
      <w:pPr>
        <w:pStyle w:val="aff6"/>
        <w:rPr>
          <w:sz w:val="28"/>
          <w:szCs w:val="28"/>
        </w:rPr>
      </w:pPr>
      <w:r w:rsidRPr="005B5A58">
        <w:rPr>
          <w:sz w:val="28"/>
          <w:szCs w:val="28"/>
        </w:rPr>
        <w:t>1. Участие в предупреждении и ликвидации последствий ЧС</w:t>
      </w:r>
      <w:r w:rsidRPr="005B5A58">
        <w:rPr>
          <w:sz w:val="28"/>
          <w:szCs w:val="28"/>
        </w:rPr>
        <w:br/>
        <w:t>на территории муниципального района</w:t>
      </w:r>
    </w:p>
    <w:p w:rsidR="002A0BFB" w:rsidRPr="0085070B" w:rsidRDefault="002A0BFB" w:rsidP="002A0BFB">
      <w:pPr>
        <w:pStyle w:val="aff4"/>
      </w:pPr>
      <w:r w:rsidRPr="0085070B">
        <w:t>1.1. Уровень готовности МКУ «ЕДДС» к действиям по предназначению (К).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уровень организации деятельности МКУ «ЕДДС» как органа повседневного управления районного звена ТП РСЧС Калужской области.</w:t>
      </w:r>
    </w:p>
    <w:p w:rsidR="002A0BFB" w:rsidRPr="0085070B" w:rsidRDefault="002A0BFB" w:rsidP="002A0BFB">
      <w:pPr>
        <w:pStyle w:val="aff4"/>
      </w:pPr>
      <w:r w:rsidRPr="0085070B">
        <w:t>Рассчитывается по результатам анализа соответствия МКУ «ЕДДС» требованиям ГОСТ </w:t>
      </w:r>
      <w:proofErr w:type="gramStart"/>
      <w:r w:rsidRPr="0085070B">
        <w:t>Р</w:t>
      </w:r>
      <w:proofErr w:type="gramEnd"/>
      <w:r w:rsidRPr="0085070B">
        <w:t> 22.7.01-2021 «Безопасность в чрезвычайных ситуациях. Единая дежурно-диспетчерская служба. Основные положения» (далее – ГОСТ </w:t>
      </w:r>
      <w:proofErr w:type="gramStart"/>
      <w:r w:rsidRPr="0085070B">
        <w:t>Р</w:t>
      </w:r>
      <w:proofErr w:type="gramEnd"/>
      <w:r w:rsidRPr="0085070B">
        <w:t> 22.7.01-2021) по количеству и площади помещений, штатной численности и оснащенности необходимым оборудованием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=(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pl</m:t>
                </m:r>
              </m:sub>
            </m:sSub>
          </m:den>
        </m:f>
        <m:r>
          <w:rPr>
            <w:rFonts w:ascii="Cambria Math" w:hAnsi="Cambria Math"/>
          </w:rPr>
          <m:t>х 100%+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</m:den>
        </m:f>
        <m:r>
          <w:rPr>
            <w:rFonts w:ascii="Cambria Math" w:hAnsi="Cambria Math"/>
          </w:rPr>
          <m:t>х 100%+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</m:den>
        </m:f>
        <m:r>
          <w:rPr>
            <w:rFonts w:ascii="Cambria Math" w:hAnsi="Cambria Math"/>
          </w:rPr>
          <m:t>х 100%)/3</m:t>
        </m:r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K</w:t>
      </w:r>
      <w:r w:rsidRPr="0085070B">
        <w:t> – </w:t>
      </w:r>
      <w:proofErr w:type="gramStart"/>
      <w:r w:rsidRPr="0085070B">
        <w:t>уровень</w:t>
      </w:r>
      <w:proofErr w:type="gramEnd"/>
      <w:r w:rsidRPr="0085070B">
        <w:t xml:space="preserve"> готовности МКУ «ЕДДС» к действиям по предназначению в соответствия с требованиями ГОСТ Р 22.7.01-2021 (%);</w:t>
      </w:r>
    </w:p>
    <w:p w:rsidR="002A0BFB" w:rsidRPr="0085070B" w:rsidRDefault="002A0BFB" w:rsidP="002A0BFB">
      <w:pPr>
        <w:pStyle w:val="aff4"/>
      </w:pPr>
      <w:proofErr w:type="spellStart"/>
      <w:r w:rsidRPr="0085070B">
        <w:rPr>
          <w:lang w:val="en-US"/>
        </w:rPr>
        <w:t>S</w:t>
      </w:r>
      <w:r w:rsidRPr="0085070B">
        <w:rPr>
          <w:vertAlign w:val="subscript"/>
          <w:lang w:val="en-US"/>
        </w:rPr>
        <w:t>n</w:t>
      </w:r>
      <w:proofErr w:type="spellEnd"/>
      <w:r w:rsidRPr="0085070B">
        <w:t> – фактическое количество помещений в МКУ «ЕДДС», соответствующих требованиям ГОСТ Р 22.7.01-2021, на отчетную дату (единиц);</w:t>
      </w:r>
    </w:p>
    <w:p w:rsidR="002A0BFB" w:rsidRPr="0085070B" w:rsidRDefault="002A0BFB" w:rsidP="002A0BFB">
      <w:pPr>
        <w:pStyle w:val="aff4"/>
      </w:pPr>
      <w:proofErr w:type="spellStart"/>
      <w:r w:rsidRPr="0085070B">
        <w:rPr>
          <w:lang w:val="en-US"/>
        </w:rPr>
        <w:t>S</w:t>
      </w:r>
      <w:r w:rsidRPr="0085070B">
        <w:rPr>
          <w:vertAlign w:val="subscript"/>
          <w:lang w:val="en-US"/>
        </w:rPr>
        <w:t>pl</w:t>
      </w:r>
      <w:proofErr w:type="spellEnd"/>
      <w:r w:rsidRPr="0085070B">
        <w:t> – плановое количество помещений в МКУ «ЕДДС», требующееся в соответствии с ГОСТ Р 22.7.01-2021 (единиц);</w:t>
      </w:r>
    </w:p>
    <w:p w:rsidR="002A0BFB" w:rsidRPr="0085070B" w:rsidRDefault="002A0BFB" w:rsidP="002A0BFB">
      <w:pPr>
        <w:pStyle w:val="aff4"/>
      </w:pPr>
      <w:proofErr w:type="spellStart"/>
      <w:r w:rsidRPr="0085070B">
        <w:rPr>
          <w:lang w:val="en-US"/>
        </w:rPr>
        <w:t>P</w:t>
      </w:r>
      <w:r w:rsidRPr="0085070B">
        <w:rPr>
          <w:vertAlign w:val="subscript"/>
          <w:lang w:val="en-US"/>
        </w:rPr>
        <w:t>n</w:t>
      </w:r>
      <w:proofErr w:type="spellEnd"/>
      <w:r w:rsidRPr="0085070B">
        <w:t> – фактическая численность персонала МКУ «ЕДДС» на отчетную дату (человек);</w:t>
      </w:r>
    </w:p>
    <w:p w:rsidR="002A0BFB" w:rsidRPr="0085070B" w:rsidRDefault="002A0BFB" w:rsidP="002A0BFB">
      <w:pPr>
        <w:pStyle w:val="aff4"/>
      </w:pPr>
      <w:proofErr w:type="spellStart"/>
      <w:r w:rsidRPr="0085070B">
        <w:rPr>
          <w:lang w:val="en-US"/>
        </w:rPr>
        <w:t>P</w:t>
      </w:r>
      <w:r w:rsidRPr="0085070B">
        <w:rPr>
          <w:vertAlign w:val="subscript"/>
          <w:lang w:val="en-US"/>
        </w:rPr>
        <w:t>pl</w:t>
      </w:r>
      <w:proofErr w:type="spellEnd"/>
      <w:r w:rsidRPr="0085070B">
        <w:t> – штатная численность персонала МКУ «ЕДДС», требующаяся в соответствии с ГОСТ Р 22.7.01-2021 (единиц);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lastRenderedPageBreak/>
        <w:t>O</w:t>
      </w:r>
      <w:r w:rsidRPr="0085070B">
        <w:rPr>
          <w:vertAlign w:val="subscript"/>
          <w:lang w:val="en-US"/>
        </w:rPr>
        <w:t>n</w:t>
      </w:r>
      <w:r w:rsidRPr="0085070B">
        <w:t> – фактическое количество работоспособного оборудования, установленного в МКУ «ЕДДС» в соответствии с требованиями ГОСТ Р 22.7.01-2021, на отчетную дату (единиц);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t>O</w:t>
      </w:r>
      <w:r w:rsidRPr="0085070B">
        <w:rPr>
          <w:vertAlign w:val="subscript"/>
          <w:lang w:val="en-US"/>
        </w:rPr>
        <w:t>pl</w:t>
      </w:r>
      <w:proofErr w:type="spellEnd"/>
      <w:r w:rsidRPr="0085070B">
        <w:t> – плановое количество оборудования, которое необходимо установить в МКУ «ЕДДС» в соответствии с требованиями ГОСТ Р 22.7.01-2021 (единиц).</w:t>
      </w:r>
      <w:proofErr w:type="gramEnd"/>
    </w:p>
    <w:p w:rsidR="002A0BFB" w:rsidRPr="0085070B" w:rsidRDefault="002A0BFB" w:rsidP="002A0BFB">
      <w:pPr>
        <w:pStyle w:val="aff4"/>
      </w:pPr>
      <w:r w:rsidRPr="0085070B">
        <w:t>1.2. Количество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районного звена ТП РСЧС Калужской области (</w:t>
      </w:r>
      <w:r w:rsidRPr="0085070B">
        <w:rPr>
          <w:lang w:val="en-US"/>
        </w:rPr>
        <w:t>T</w:t>
      </w:r>
      <w:r w:rsidRPr="0085070B">
        <w:t>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работу постоянно действующего органа управления районного звена ТП РСЧС Калужской области по организации информирования населения муниципального района по вопросам защиты населения и территории муниципального района от чрезвычайных ситуаций, пожаров и происшествий на водных объектах.</w:t>
      </w:r>
    </w:p>
    <w:p w:rsidR="002A0BFB" w:rsidRPr="0085070B" w:rsidRDefault="002A0BFB" w:rsidP="002A0BFB">
      <w:pPr>
        <w:pStyle w:val="aff4"/>
      </w:pPr>
      <w:r w:rsidRPr="0085070B">
        <w:t>Рассчитывается по количеству публикаций в электронных и печатных средствах массовой информации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pa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ss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tv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T</w:t>
      </w:r>
      <w:r w:rsidRPr="0085070B">
        <w:t> – </w:t>
      </w:r>
      <w:proofErr w:type="gramStart"/>
      <w:r w:rsidRPr="0085070B">
        <w:t>количество</w:t>
      </w:r>
      <w:proofErr w:type="gramEnd"/>
      <w:r w:rsidRPr="0085070B">
        <w:t xml:space="preserve">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районного звена ТП РСЧС Калужской области за отчетный год (единиц);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t>T</w:t>
      </w:r>
      <w:r w:rsidRPr="0085070B">
        <w:rPr>
          <w:vertAlign w:val="subscript"/>
          <w:lang w:val="en-US"/>
        </w:rPr>
        <w:t>g</w:t>
      </w:r>
      <w:proofErr w:type="spellEnd"/>
      <w:proofErr w:type="gramEnd"/>
      <w:r w:rsidR="00BD07EF" w:rsidRPr="0085070B">
        <w:fldChar w:fldCharType="begin"/>
      </w:r>
      <w:r w:rsidRPr="0085070B">
        <w:instrText xml:space="preserve"> QUOTE </w:instrText>
      </w:r>
      <w:r w:rsidR="00BD07EF" w:rsidRPr="0085070B">
        <w:fldChar w:fldCharType="begin"/>
      </w:r>
      <w:r w:rsidRPr="0085070B">
        <w:instrText xml:space="preserve"> QUOTE </w:instrText>
      </w:r>
      <w:r w:rsidR="00A2391C" w:rsidRPr="00BD07EF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15pt;height:14.25pt" equationxml="&lt;">
            <v:imagedata r:id="rId9" o:title="" chromakey="white"/>
          </v:shape>
        </w:pict>
      </w:r>
      <w:r w:rsidRPr="0085070B">
        <w:instrText xml:space="preserve"> </w:instrText>
      </w:r>
      <w:r w:rsidR="00BD07EF" w:rsidRPr="0085070B">
        <w:fldChar w:fldCharType="separate"/>
      </w:r>
      <w:r w:rsidR="00A2391C" w:rsidRPr="00BD07EF">
        <w:rPr>
          <w:position w:val="-6"/>
        </w:rPr>
        <w:pict>
          <v:shape id="_x0000_i1026" type="#_x0000_t75" style="width:8.15pt;height:14.25pt" equationxml="&lt;">
            <v:imagedata r:id="rId9" o:title="" chromakey="white"/>
          </v:shape>
        </w:pict>
      </w:r>
      <w:r w:rsidR="00BD07EF" w:rsidRPr="0085070B">
        <w:fldChar w:fldCharType="end"/>
      </w:r>
      <w:r w:rsidRPr="0085070B">
        <w:instrText xml:space="preserve"> </w:instrText>
      </w:r>
      <w:r w:rsidR="00BD07EF" w:rsidRPr="0085070B">
        <w:fldChar w:fldCharType="end"/>
      </w:r>
      <w:r w:rsidRPr="0085070B">
        <w:t> – количество публикаций, размещенных в печатных средствах массовой информации постоянно действующим органом управления районного звена ТП РСЧС Калужской области за отчетный год (единиц);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t>T</w:t>
      </w:r>
      <w:r w:rsidRPr="0085070B">
        <w:rPr>
          <w:vertAlign w:val="subscript"/>
          <w:lang w:val="en-US"/>
        </w:rPr>
        <w:t>pa</w:t>
      </w:r>
      <w:proofErr w:type="spellEnd"/>
      <w:proofErr w:type="gramEnd"/>
      <w:r w:rsidRPr="0085070B">
        <w:t xml:space="preserve"> – количество публикаций по теме обеспечения безопасности жизнедеятельности населения, размещенных на </w:t>
      </w:r>
      <w:proofErr w:type="spellStart"/>
      <w:r w:rsidRPr="0085070B">
        <w:t>интернет-портале</w:t>
      </w:r>
      <w:proofErr w:type="spellEnd"/>
      <w:r w:rsidRPr="0085070B">
        <w:t xml:space="preserve"> администрации муниципального района постоянно действующим органом управления районного звена ТП РСЧС Калужской области за отчетный год (единиц);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t>T</w:t>
      </w:r>
      <w:r w:rsidRPr="0085070B">
        <w:rPr>
          <w:vertAlign w:val="subscript"/>
          <w:lang w:val="en-US"/>
        </w:rPr>
        <w:t>ss</w:t>
      </w:r>
      <w:proofErr w:type="spellEnd"/>
      <w:proofErr w:type="gramEnd"/>
      <w:r w:rsidRPr="0085070B">
        <w:t> – количество публикаций по теме обеспечения безопасности жизнедеятельности населения, размещенных в социальных сетях постоянно действующим органом управления районного звена ТП РСЧС Калужской области за отчетный год (единиц);</w:t>
      </w:r>
    </w:p>
    <w:p w:rsidR="002A0BFB" w:rsidRPr="0085070B" w:rsidRDefault="002A0BFB" w:rsidP="002A0BFB">
      <w:pPr>
        <w:pStyle w:val="aff4"/>
      </w:pPr>
      <w:proofErr w:type="spellStart"/>
      <w:r w:rsidRPr="0085070B">
        <w:rPr>
          <w:lang w:val="en-US"/>
        </w:rPr>
        <w:t>T</w:t>
      </w:r>
      <w:r w:rsidRPr="0085070B">
        <w:rPr>
          <w:vertAlign w:val="subscript"/>
          <w:lang w:val="en-US"/>
        </w:rPr>
        <w:t>tv</w:t>
      </w:r>
      <w:proofErr w:type="spellEnd"/>
      <w:r w:rsidRPr="0085070B">
        <w:t> – количество выступлений по теме обеспечения безопасности жизнедеятельности населения, организованных на телевидении постоянно действующим органом управления районного звена ТП РСЧС Калужской области за отчетный год (единиц);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t>T</w:t>
      </w:r>
      <w:r w:rsidRPr="0085070B">
        <w:rPr>
          <w:vertAlign w:val="subscript"/>
          <w:lang w:val="en-US"/>
        </w:rPr>
        <w:t>r</w:t>
      </w:r>
      <w:proofErr w:type="spellEnd"/>
      <w:proofErr w:type="gramEnd"/>
      <w:r w:rsidRPr="0085070B">
        <w:t> – количество выступлений по теме обеспечения безопасности жизнедеятельности населения, организованных на радио постоянно действующим органом управления районного звена ТП РСЧС Калужской области за отчетный год (единиц);</w:t>
      </w:r>
    </w:p>
    <w:p w:rsidR="002A0BFB" w:rsidRPr="0085070B" w:rsidRDefault="002A0BFB" w:rsidP="002A0BFB">
      <w:pPr>
        <w:pStyle w:val="aff4"/>
      </w:pPr>
      <w:proofErr w:type="gramStart"/>
      <w:r w:rsidRPr="0085070B">
        <w:rPr>
          <w:lang w:val="en-US"/>
        </w:rPr>
        <w:t>T</w:t>
      </w:r>
      <w:r w:rsidRPr="0085070B">
        <w:rPr>
          <w:vertAlign w:val="subscript"/>
          <w:lang w:val="en-US"/>
        </w:rPr>
        <w:t>i</w:t>
      </w:r>
      <w:r w:rsidRPr="0085070B">
        <w:t> – количество публикаций по теме обеспечения безопасности жизнедеятельности населения, размещенных в иных средствах массовой информации постоянно действующим органом управления районного звена ТП РСЧС Калужской области за отчетный год (единиц).</w:t>
      </w:r>
      <w:proofErr w:type="gramEnd"/>
    </w:p>
    <w:p w:rsidR="002A0BFB" w:rsidRPr="0085070B" w:rsidRDefault="002A0BFB" w:rsidP="002A0BFB">
      <w:pPr>
        <w:pStyle w:val="aff4"/>
      </w:pPr>
      <w:r w:rsidRPr="0085070B">
        <w:t>1.3. Уровень готовности ПВР к приему населения, эвакуируемого при ЧС (</w:t>
      </w:r>
      <w:r w:rsidRPr="0085070B">
        <w:rPr>
          <w:lang w:val="en-US"/>
        </w:rPr>
        <w:t>Z</w:t>
      </w:r>
      <w:r w:rsidRPr="0085070B">
        <w:t>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организацию работы по обеспечению готовности ПВР.</w:t>
      </w:r>
    </w:p>
    <w:p w:rsidR="002A0BFB" w:rsidRPr="0085070B" w:rsidRDefault="002A0BFB" w:rsidP="002A0BFB">
      <w:pPr>
        <w:pStyle w:val="aff4"/>
      </w:pPr>
      <w:r w:rsidRPr="0085070B">
        <w:t>Рассчитывается на основе данных по готовности ПВР к приему эвакуируемого населения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</m:den>
        </m:f>
        <m:r>
          <w:rPr>
            <w:rFonts w:ascii="Cambria Math" w:hAnsi="Cambria Math"/>
          </w:rPr>
          <m:t>х 100%</m:t>
        </m:r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Z</w:t>
      </w:r>
      <w:r w:rsidRPr="0085070B">
        <w:t> – </w:t>
      </w:r>
      <w:proofErr w:type="gramStart"/>
      <w:r w:rsidRPr="0085070B">
        <w:t>уровень</w:t>
      </w:r>
      <w:proofErr w:type="gramEnd"/>
      <w:r w:rsidRPr="0085070B">
        <w:t xml:space="preserve"> готовности ПВР к приему населения, эвакуируемого при ЧС на отчетную дату (%);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Z</w:t>
      </w:r>
      <w:r w:rsidRPr="0085070B">
        <w:rPr>
          <w:vertAlign w:val="subscript"/>
          <w:lang w:val="en-US"/>
        </w:rPr>
        <w:t>n</w:t>
      </w:r>
      <w:r w:rsidRPr="0085070B">
        <w:t> – численность населения муниципального района, которое может фактически принять ПВР (в соответствии с установленными нормами обеспечения), на отчетную дату (человек);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lastRenderedPageBreak/>
        <w:t>Z</w:t>
      </w:r>
      <w:r w:rsidRPr="0085070B">
        <w:rPr>
          <w:vertAlign w:val="subscript"/>
          <w:lang w:val="en-US"/>
        </w:rPr>
        <w:t>pl</w:t>
      </w:r>
      <w:proofErr w:type="spellEnd"/>
      <w:r w:rsidRPr="0085070B">
        <w:t> – плановая численность населения муниципального района, которое может одновременно нуждаться в эвакуации на ПВР, в соответствии с установленными рисками ЧС (человек).</w:t>
      </w:r>
      <w:proofErr w:type="gramEnd"/>
    </w:p>
    <w:p w:rsidR="002A0BFB" w:rsidRPr="0085070B" w:rsidRDefault="002A0BFB" w:rsidP="002A0BFB">
      <w:pPr>
        <w:pStyle w:val="aff4"/>
      </w:pPr>
      <w:r w:rsidRPr="0085070B">
        <w:t xml:space="preserve">1.4. Доля созданных резервов материальных ресурсов для ликвидации ЧС на территории муниципального района, </w:t>
      </w:r>
      <w:proofErr w:type="gramStart"/>
      <w:r w:rsidRPr="0085070B">
        <w:t>от</w:t>
      </w:r>
      <w:proofErr w:type="gramEnd"/>
      <w:r w:rsidRPr="0085070B">
        <w:t xml:space="preserve"> необходимого (</w:t>
      </w:r>
      <w:r w:rsidRPr="0085070B">
        <w:rPr>
          <w:lang w:val="en-US"/>
        </w:rPr>
        <w:t>V</w:t>
      </w:r>
      <w:r w:rsidRPr="0085070B">
        <w:t>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полноту проведения мероприятий по созданию и своевременному восполнению резервов материальных ресурсов для ликвидации ЧС на территории муниципального района и их фактическое наличие.</w:t>
      </w:r>
    </w:p>
    <w:p w:rsidR="002A0BFB" w:rsidRPr="0085070B" w:rsidRDefault="002A0BFB" w:rsidP="002A0BFB">
      <w:pPr>
        <w:pStyle w:val="aff4"/>
      </w:pPr>
      <w:r w:rsidRPr="0085070B">
        <w:t>Рассчитывается на основе данных по наличию резервов материальных ресурсов для ликвидации ЧС с учетом срока годности (эксплуатации) объектов резервов в соответствии с утвержденными номенклатурой и объемами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m:t>V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</m:den>
        </m:f>
        <m:r>
          <w:rPr>
            <w:rFonts w:ascii="Cambria Math" w:hAnsi="Cambria Math"/>
          </w:rPr>
          <m:t>х 100%</m:t>
        </m:r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V</w:t>
      </w:r>
      <w:r w:rsidRPr="0085070B">
        <w:t> – </w:t>
      </w:r>
      <w:proofErr w:type="gramStart"/>
      <w:r w:rsidRPr="0085070B">
        <w:t>доля</w:t>
      </w:r>
      <w:proofErr w:type="gramEnd"/>
      <w:r w:rsidRPr="0085070B">
        <w:t xml:space="preserve"> созданных резервов материальных ресурсов для ликвидации ЧС на территории муниципального района на отчетную дату (%);</w:t>
      </w:r>
    </w:p>
    <w:p w:rsidR="002A0BFB" w:rsidRPr="0085070B" w:rsidRDefault="002A0BFB" w:rsidP="002A0BFB">
      <w:pPr>
        <w:pStyle w:val="aff4"/>
      </w:pPr>
      <w:proofErr w:type="spellStart"/>
      <w:r w:rsidRPr="0085070B">
        <w:rPr>
          <w:lang w:val="en-US"/>
        </w:rPr>
        <w:t>V</w:t>
      </w:r>
      <w:r w:rsidRPr="0085070B">
        <w:rPr>
          <w:vertAlign w:val="subscript"/>
          <w:lang w:val="en-US"/>
        </w:rPr>
        <w:t>n</w:t>
      </w:r>
      <w:proofErr w:type="spellEnd"/>
      <w:r w:rsidRPr="0085070B">
        <w:t> – объем созданных резервов материальных ресурсов для ликвидации ЧС на территории муниципального района, соответствующих утвержденной номенклатуре и с </w:t>
      </w:r>
      <w:proofErr w:type="spellStart"/>
      <w:r w:rsidRPr="0085070B">
        <w:t>неистекшим</w:t>
      </w:r>
      <w:proofErr w:type="spellEnd"/>
      <w:r w:rsidRPr="0085070B">
        <w:t xml:space="preserve"> сроком годности (эксплуатации), на отчетную дату (млн. рублей);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t>V</w:t>
      </w:r>
      <w:r w:rsidRPr="0085070B">
        <w:rPr>
          <w:vertAlign w:val="subscript"/>
          <w:lang w:val="en-US"/>
        </w:rPr>
        <w:t>pl</w:t>
      </w:r>
      <w:proofErr w:type="spellEnd"/>
      <w:r w:rsidRPr="0085070B">
        <w:t> – общий объем запланированных к созданию резервов материальных ресурсов для ликвидации ЧС на территории муниципального района (млн. рублей).</w:t>
      </w:r>
      <w:proofErr w:type="gramEnd"/>
    </w:p>
    <w:p w:rsidR="002A0BFB" w:rsidRPr="0085070B" w:rsidRDefault="002A0BFB" w:rsidP="002A0BFB">
      <w:pPr>
        <w:pStyle w:val="aff4"/>
      </w:pPr>
      <w:r w:rsidRPr="0085070B">
        <w:t>1.5. Сокращение числа вызовов на номер «112» от населения муниципального района, переадресованных из МКУ «ЕДДС» в ЦОВ-112 (к уровню 202</w:t>
      </w:r>
      <w:r w:rsidRPr="003206EC">
        <w:t>1</w:t>
      </w:r>
      <w:r w:rsidRPr="0085070B">
        <w:t xml:space="preserve"> года) (</w:t>
      </w:r>
      <w:r w:rsidRPr="0085070B">
        <w:rPr>
          <w:lang w:val="en-US"/>
        </w:rPr>
        <w:t>F</w:t>
      </w:r>
      <w:r w:rsidRPr="0085070B">
        <w:t>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результативность мероприятий, направленных на содержание, развитие и организацию эксплуатации системы-112 на базе МКУ «ЕДДС».</w:t>
      </w:r>
    </w:p>
    <w:p w:rsidR="002A0BFB" w:rsidRPr="0085070B" w:rsidRDefault="002A0BFB" w:rsidP="002A0BFB">
      <w:pPr>
        <w:pStyle w:val="aff4"/>
      </w:pPr>
      <w:r w:rsidRPr="0085070B">
        <w:t>Индикатор рассчитывается на основе данных о количестве обращений от населения муниципального района по единому номеру «112» в МКУ «ЕДДС», переадресованных в ЦОВ-112 государственного казенного учреждения Калужской области «Пожарно-спасательная служба Калужской области» (далее – ПСС Калужской области),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</m:den>
        </m:f>
        <m:r>
          <w:rPr>
            <w:rFonts w:ascii="Cambria Math" w:hAnsi="Cambria Math"/>
          </w:rPr>
          <m:t>х 100%</m:t>
        </m:r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F</w:t>
      </w:r>
      <w:r w:rsidRPr="0085070B">
        <w:t xml:space="preserve"> – сокращение числа вызовов на номер «112» от населения муниципального района, переадресованных из МКУ «ЕДДС» в ЦОВ-112 </w:t>
      </w:r>
      <w:r>
        <w:t xml:space="preserve">за отчетный период </w:t>
      </w:r>
      <w:r w:rsidRPr="0085070B">
        <w:t>к уровню 202</w:t>
      </w:r>
      <w:r w:rsidRPr="003206EC">
        <w:t>1</w:t>
      </w:r>
      <w:r>
        <w:t> </w:t>
      </w:r>
      <w:r w:rsidRPr="0085070B">
        <w:t>года (%);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F</w:t>
      </w:r>
      <w:r w:rsidRPr="0085070B">
        <w:rPr>
          <w:vertAlign w:val="subscript"/>
          <w:lang w:val="en-US"/>
        </w:rPr>
        <w:t>n</w:t>
      </w:r>
      <w:r w:rsidRPr="0085070B">
        <w:t> – количество обращений от населения муниципального района по единому номеру «112» в МКУ «ЕДДС», переадресованных в ЦОВ-112 в отчетном году, по данным, предоставляемым специалистами ПСС Калужской области (единиц);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F</w:t>
      </w:r>
      <w:r w:rsidRPr="0085070B">
        <w:rPr>
          <w:vertAlign w:val="subscript"/>
        </w:rPr>
        <w:t>2</w:t>
      </w:r>
      <w:r w:rsidRPr="00A76D9F">
        <w:rPr>
          <w:vertAlign w:val="subscript"/>
        </w:rPr>
        <w:t>1</w:t>
      </w:r>
      <w:r w:rsidRPr="0085070B">
        <w:t> – количество обращений от населения муниципального района по единому номеру «112» в МКУ «ЕДДС», переадресованных в ЦОВ-112 в 202</w:t>
      </w:r>
      <w:r w:rsidRPr="00A76D9F">
        <w:t>1</w:t>
      </w:r>
      <w:r w:rsidRPr="0085070B">
        <w:t xml:space="preserve"> году, по данным, предоставляемым специалистами ПСС Калужской области (единиц).</w:t>
      </w:r>
    </w:p>
    <w:p w:rsidR="002A0BFB" w:rsidRPr="0085070B" w:rsidRDefault="002A0BFB" w:rsidP="002A0BFB">
      <w:pPr>
        <w:pStyle w:val="aff4"/>
      </w:pPr>
      <w:r w:rsidRPr="0085070B">
        <w:t>1.6. Доля камер фот</w:t>
      </w:r>
      <w:proofErr w:type="gramStart"/>
      <w:r w:rsidRPr="0085070B">
        <w:t>о-</w:t>
      </w:r>
      <w:proofErr w:type="gramEnd"/>
      <w:r w:rsidRPr="0085070B">
        <w:t xml:space="preserve"> и видеофиксации, подключенных к АПК «Безопасный город», от общего числа камер, запланированных к подключению на территории муниципального района (</w:t>
      </w:r>
      <w:r w:rsidRPr="0085070B">
        <w:rPr>
          <w:lang w:val="en-US"/>
        </w:rPr>
        <w:t>B</w:t>
      </w:r>
      <w:r w:rsidRPr="0085070B">
        <w:t>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работу по развитию районного сегмента АПК «Безопасный город».</w:t>
      </w:r>
    </w:p>
    <w:p w:rsidR="002A0BFB" w:rsidRPr="0085070B" w:rsidRDefault="002A0BFB" w:rsidP="002A0BFB">
      <w:pPr>
        <w:pStyle w:val="aff4"/>
      </w:pPr>
      <w:r w:rsidRPr="0085070B">
        <w:t>Рассчитывается на основе данных по фактическому количеству камер, подключенных к АПК «Безопасный город»,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</m:den>
        </m:f>
        <m:r>
          <w:rPr>
            <w:rFonts w:ascii="Cambria Math" w:hAnsi="Cambria Math"/>
          </w:rPr>
          <m:t>х 100%</m:t>
        </m:r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B</w:t>
      </w:r>
      <w:r w:rsidRPr="0085070B">
        <w:t> – доля камер фото- и видеофиксации, подключенных к АПК «Безопасный город», от числа камер, запланированных к подключению на территории муниципального района, на отчетную дату (%);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lastRenderedPageBreak/>
        <w:t>B</w:t>
      </w:r>
      <w:r w:rsidRPr="0085070B">
        <w:rPr>
          <w:vertAlign w:val="subscript"/>
          <w:lang w:val="en-US"/>
        </w:rPr>
        <w:t>f</w:t>
      </w:r>
      <w:r w:rsidRPr="0085070B">
        <w:t> – фактическое число камер, фото- и видеофиксации, подключенных к АПК «Безопасный город» на отчетную дату (единиц);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t>B</w:t>
      </w:r>
      <w:r w:rsidRPr="0085070B">
        <w:rPr>
          <w:vertAlign w:val="subscript"/>
          <w:lang w:val="en-US"/>
        </w:rPr>
        <w:t>pl</w:t>
      </w:r>
      <w:proofErr w:type="spellEnd"/>
      <w:r w:rsidRPr="0085070B">
        <w:t> – общее количество камер, фото- и видеофиксации, запланированных для подключения к АПК «Безопасный город» на отчетную дату (единиц).</w:t>
      </w:r>
      <w:proofErr w:type="gramEnd"/>
    </w:p>
    <w:p w:rsidR="002A0BFB" w:rsidRPr="0085070B" w:rsidRDefault="002A0BFB" w:rsidP="002A0BFB">
      <w:pPr>
        <w:pStyle w:val="aff6"/>
      </w:pPr>
      <w:r w:rsidRPr="0085070B">
        <w:t>2. Организация и осуществление мероприятий по ГО, защите населения и территории муниципального района от ЧС</w:t>
      </w:r>
    </w:p>
    <w:p w:rsidR="002A0BFB" w:rsidRPr="0085070B" w:rsidRDefault="002A0BFB" w:rsidP="002A0BFB">
      <w:pPr>
        <w:pStyle w:val="aff4"/>
      </w:pPr>
      <w:r w:rsidRPr="0085070B">
        <w:t>2.1. Уровень готовности муниципальной системы оповещения населения к использованию по предназначению (С).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работу по обеспечению населения муниципального района средствами оповещения при ЧС, пожарах и иных происшествиях, а также при военных конфликтах.</w:t>
      </w:r>
    </w:p>
    <w:p w:rsidR="002A0BFB" w:rsidRPr="0085070B" w:rsidRDefault="002A0BFB" w:rsidP="002A0BFB">
      <w:pPr>
        <w:pStyle w:val="aff4"/>
      </w:pPr>
      <w:r w:rsidRPr="0085070B">
        <w:t>Рассчитывается на основе данных по фактическому наличию исправных автоматизированных и переносных средств оповещения населения (</w:t>
      </w:r>
      <w:proofErr w:type="spellStart"/>
      <w:r w:rsidRPr="0085070B">
        <w:t>электросирен</w:t>
      </w:r>
      <w:proofErr w:type="spellEnd"/>
      <w:r w:rsidRPr="0085070B">
        <w:t>, выносных акустических устройств, электромегафонов, рынд) в соответствии с планом обеспечения населенных пунктов муниципального района, по формуле:</w:t>
      </w:r>
    </w:p>
    <w:p w:rsidR="002A0BFB" w:rsidRPr="0085070B" w:rsidRDefault="00BD07EF" w:rsidP="002A0BFB">
      <w:pPr>
        <w:pStyle w:val="aff4"/>
        <w:rPr>
          <w:sz w:val="10"/>
          <w:szCs w:val="10"/>
        </w:rPr>
      </w:pP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466850" cy="295275"/>
            <wp:effectExtent l="0" t="0" r="0" b="0"/>
            <wp:docPr id="16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m:oMath>
        <m:r>
          <w:rPr>
            <w:rFonts w:ascii="Cambria Math" w:hAnsi="Cambria Math"/>
            <w:lang w:val="en-US"/>
          </w:rPr>
          <m:t>C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</m:den>
        </m:f>
        <m:r>
          <w:rPr>
            <w:rFonts w:ascii="Cambria Math" w:hAnsi="Cambria Math"/>
          </w:rPr>
          <m:t>×100%</m:t>
        </m:r>
      </m:oMath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362075" cy="276225"/>
            <wp:effectExtent l="0" t="0" r="0" b="0"/>
            <wp:docPr id="1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409700" cy="295275"/>
            <wp:effectExtent l="0" t="0" r="0" b="0"/>
            <wp:docPr id="2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990725" cy="295275"/>
            <wp:effectExtent l="0" t="0" r="0" b="0"/>
            <wp:docPr id="2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end"/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2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362075" cy="276225"/>
            <wp:effectExtent l="0" t="0" r="0" b="0"/>
            <wp:docPr id="2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2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2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2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2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="002A0BFB" w:rsidRPr="0085070B">
        <w:t>, где:</w:t>
      </w:r>
    </w:p>
    <w:p w:rsidR="002A0BFB" w:rsidRPr="0085070B" w:rsidRDefault="002A0BFB" w:rsidP="002A0BFB">
      <w:pPr>
        <w:pStyle w:val="aff4"/>
      </w:pPr>
      <w:r w:rsidRPr="0085070B">
        <w:t>С – уровень готовности муниципальной системы оповещения населения к использованию по предназначению на отчетную дату</w:t>
      </w:r>
      <w:proofErr w:type="gramStart"/>
      <w:r w:rsidRPr="0085070B">
        <w:t xml:space="preserve"> (%);</w:t>
      </w:r>
      <w:proofErr w:type="gramEnd"/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3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3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="002A0BFB" w:rsidRPr="0085070B">
        <w:rPr>
          <w:lang w:val="en-US"/>
        </w:rPr>
        <w:t>S</w:t>
      </w:r>
      <w:r w:rsidR="002A0BFB" w:rsidRPr="0085070B">
        <w:t> – </w:t>
      </w:r>
      <w:proofErr w:type="gramStart"/>
      <w:r w:rsidR="002A0BFB" w:rsidRPr="0085070B">
        <w:t>фактическое</w:t>
      </w:r>
      <w:proofErr w:type="gramEnd"/>
      <w:r w:rsidR="002A0BFB" w:rsidRPr="0085070B">
        <w:t xml:space="preserve"> количество установленных в населенных пунктах исправных </w:t>
      </w:r>
      <w:proofErr w:type="spellStart"/>
      <w:r w:rsidR="002A0BFB" w:rsidRPr="0085070B">
        <w:t>электросирен</w:t>
      </w:r>
      <w:proofErr w:type="spellEnd"/>
      <w:r w:rsidR="002A0BFB" w:rsidRPr="0085070B">
        <w:t xml:space="preserve"> на отчетную дату (единиц);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3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3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proofErr w:type="spellStart"/>
      <w:proofErr w:type="gramStart"/>
      <w:r w:rsidR="002A0BFB" w:rsidRPr="0085070B">
        <w:rPr>
          <w:lang w:val="en-US"/>
        </w:rPr>
        <w:t>V</w:t>
      </w:r>
      <w:r w:rsidR="002A0BFB" w:rsidRPr="0085070B">
        <w:rPr>
          <w:vertAlign w:val="subscript"/>
          <w:lang w:val="en-US"/>
        </w:rPr>
        <w:t>f</w:t>
      </w:r>
      <w:proofErr w:type="spellEnd"/>
      <w:proofErr w:type="gramEnd"/>
      <w:r w:rsidR="002A0BFB" w:rsidRPr="0085070B">
        <w:t> – фактическое количество приобретенных и установленных в населенных пунктах исправных выносных акустических устройств на отчетную дату (единиц);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3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3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proofErr w:type="spellStart"/>
      <w:r w:rsidR="002A0BFB" w:rsidRPr="0085070B">
        <w:rPr>
          <w:lang w:val="en-US"/>
        </w:rPr>
        <w:t>E</w:t>
      </w:r>
      <w:r w:rsidR="002A0BFB" w:rsidRPr="0085070B">
        <w:rPr>
          <w:vertAlign w:val="subscript"/>
          <w:lang w:val="en-US"/>
        </w:rPr>
        <w:t>f</w:t>
      </w:r>
      <w:proofErr w:type="spellEnd"/>
      <w:r w:rsidR="002A0BFB" w:rsidRPr="0085070B">
        <w:t> – фактическое количество приобретенных и переданных в населенные пункты исправных электромегафонов на отчетную дату (единиц);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3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3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proofErr w:type="spellStart"/>
      <w:proofErr w:type="gramStart"/>
      <w:r w:rsidR="002A0BFB" w:rsidRPr="0085070B">
        <w:rPr>
          <w:lang w:val="en-US"/>
        </w:rPr>
        <w:t>R</w:t>
      </w:r>
      <w:r w:rsidR="002A0BFB" w:rsidRPr="0085070B">
        <w:rPr>
          <w:vertAlign w:val="subscript"/>
          <w:lang w:val="en-US"/>
        </w:rPr>
        <w:t>f</w:t>
      </w:r>
      <w:proofErr w:type="spellEnd"/>
      <w:proofErr w:type="gramEnd"/>
      <w:r w:rsidR="002A0BFB" w:rsidRPr="0085070B">
        <w:t> – фактическое количество приобретенных и размещенных в населенных пунктах рынд на отчетную дату (единиц);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3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3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proofErr w:type="spellStart"/>
      <w:r w:rsidR="002A0BFB" w:rsidRPr="0085070B">
        <w:rPr>
          <w:lang w:val="en-US"/>
        </w:rPr>
        <w:t>V</w:t>
      </w:r>
      <w:r w:rsidR="002A0BFB" w:rsidRPr="0085070B">
        <w:rPr>
          <w:vertAlign w:val="subscript"/>
          <w:lang w:val="en-US"/>
        </w:rPr>
        <w:t>pl</w:t>
      </w:r>
      <w:proofErr w:type="spellEnd"/>
      <w:r w:rsidR="002A0BFB" w:rsidRPr="0085070B">
        <w:t> – общее количество запланированных к приобретению и установке в населенных пунктах выносных акустических устройств (единиц);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4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4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proofErr w:type="spellStart"/>
      <w:r w:rsidR="002A0BFB" w:rsidRPr="0085070B">
        <w:rPr>
          <w:lang w:val="en-US"/>
        </w:rPr>
        <w:t>E</w:t>
      </w:r>
      <w:r w:rsidR="002A0BFB" w:rsidRPr="0085070B">
        <w:rPr>
          <w:vertAlign w:val="subscript"/>
          <w:lang w:val="en-US"/>
        </w:rPr>
        <w:t>pl</w:t>
      </w:r>
      <w:proofErr w:type="spellEnd"/>
      <w:r w:rsidR="002A0BFB" w:rsidRPr="0085070B">
        <w:t> – общее количество запланированных к приобретению электромегафонов (единиц);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4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4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proofErr w:type="spellStart"/>
      <w:proofErr w:type="gramStart"/>
      <w:r w:rsidR="002A0BFB" w:rsidRPr="0085070B">
        <w:rPr>
          <w:lang w:val="en-US"/>
        </w:rPr>
        <w:t>R</w:t>
      </w:r>
      <w:r w:rsidR="002A0BFB" w:rsidRPr="0085070B">
        <w:rPr>
          <w:vertAlign w:val="subscript"/>
          <w:lang w:val="en-US"/>
        </w:rPr>
        <w:t>pl</w:t>
      </w:r>
      <w:proofErr w:type="spellEnd"/>
      <w:r w:rsidR="002A0BFB" w:rsidRPr="0085070B">
        <w:t> – общее количество запланированных к приобретению и размещению в населенных пунктах рынд (единиц).</w:t>
      </w:r>
      <w:proofErr w:type="gramEnd"/>
    </w:p>
    <w:p w:rsidR="002A0BFB" w:rsidRPr="0085070B" w:rsidRDefault="002A0BFB" w:rsidP="002A0BFB">
      <w:pPr>
        <w:pStyle w:val="aff4"/>
      </w:pPr>
      <w:r w:rsidRPr="0085070B">
        <w:t>2.</w:t>
      </w:r>
      <w:r w:rsidR="00C67986">
        <w:t>2</w:t>
      </w:r>
      <w:r w:rsidRPr="0085070B">
        <w:t>. Уровень обеспеченности НФГО, создаваемых на МП, имуществом ГО (</w:t>
      </w:r>
      <w:r w:rsidRPr="0085070B">
        <w:rPr>
          <w:lang w:val="en-US"/>
        </w:rPr>
        <w:t>L</w:t>
      </w:r>
      <w:r w:rsidRPr="0085070B">
        <w:t>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работу по созданию и поддержанию в состоянии постоянной готовности сил и средств ГО в части обеспечения НФГО имуществом ГО.</w:t>
      </w:r>
    </w:p>
    <w:p w:rsidR="002A0BFB" w:rsidRPr="0085070B" w:rsidRDefault="002A0BFB" w:rsidP="002A0BFB">
      <w:pPr>
        <w:pStyle w:val="aff4"/>
      </w:pPr>
      <w:r w:rsidRPr="0085070B">
        <w:t>Рассчитывается на основе анализа соответствия уровня оснащенности НФГО имуществом ГО утвержденной номенклатуре,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m:t>L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</m:den>
        </m:f>
        <m:r>
          <w:rPr>
            <w:rFonts w:ascii="Cambria Math" w:hAnsi="Cambria Math"/>
          </w:rPr>
          <m:t>х 100%</m:t>
        </m:r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L</w:t>
      </w:r>
      <w:r w:rsidRPr="0085070B">
        <w:t> – </w:t>
      </w:r>
      <w:proofErr w:type="gramStart"/>
      <w:r w:rsidRPr="0085070B">
        <w:t>уровень</w:t>
      </w:r>
      <w:proofErr w:type="gramEnd"/>
      <w:r w:rsidRPr="0085070B">
        <w:t xml:space="preserve"> обеспеченности НФГО, создаваемых на МП, имуществом ГО на отчетную дату (%);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L</w:t>
      </w:r>
      <w:r w:rsidRPr="0085070B">
        <w:rPr>
          <w:vertAlign w:val="subscript"/>
          <w:lang w:val="en-US"/>
        </w:rPr>
        <w:t>f</w:t>
      </w:r>
      <w:r w:rsidRPr="0085070B">
        <w:t> – фактическое количество закупленного для НФГО, создаваемых на МП, имущества ГО на отчетную дату (единиц);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t>L</w:t>
      </w:r>
      <w:r w:rsidRPr="0085070B">
        <w:rPr>
          <w:vertAlign w:val="subscript"/>
          <w:lang w:val="en-US"/>
        </w:rPr>
        <w:t>pl</w:t>
      </w:r>
      <w:proofErr w:type="spellEnd"/>
      <w:r w:rsidRPr="0085070B">
        <w:t> – общее количество имущества ГО, необходимого для оснащения НФГО, создаваемых на МП (единиц).</w:t>
      </w:r>
      <w:proofErr w:type="gramEnd"/>
    </w:p>
    <w:p w:rsidR="002A0BFB" w:rsidRPr="0085070B" w:rsidRDefault="008251FF" w:rsidP="002A0BFB">
      <w:pPr>
        <w:pStyle w:val="aff4"/>
      </w:pPr>
      <w:r>
        <w:t>2.3</w:t>
      </w:r>
      <w:r w:rsidR="002A0BFB" w:rsidRPr="0085070B">
        <w:t xml:space="preserve">. Доля сформированных запасов, создаваемых в целях ГО, </w:t>
      </w:r>
      <w:proofErr w:type="gramStart"/>
      <w:r w:rsidR="002A0BFB" w:rsidRPr="0085070B">
        <w:t>от</w:t>
      </w:r>
      <w:proofErr w:type="gramEnd"/>
      <w:r w:rsidR="002A0BFB" w:rsidRPr="0085070B">
        <w:t xml:space="preserve"> необходимого (G).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результаты реализации мероприятий, направленных создание и содержание в целях ГО запасов продовольствия, медицинских средств индивидуальной защиты и иных средств, определенных утвержденной номенклатурой.</w:t>
      </w:r>
    </w:p>
    <w:p w:rsidR="002A0BFB" w:rsidRPr="0085070B" w:rsidRDefault="002A0BFB" w:rsidP="002A0BFB">
      <w:pPr>
        <w:pStyle w:val="aff4"/>
      </w:pPr>
      <w:r w:rsidRPr="0085070B">
        <w:t>Индикатор рассчитывается на основе данных о фактическом наличии заложенных резервов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w:lastRenderedPageBreak/>
          <m:t>G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</m:den>
        </m:f>
        <m:r>
          <w:rPr>
            <w:rFonts w:ascii="Cambria Math" w:hAnsi="Cambria Math"/>
          </w:rPr>
          <m:t>х 100%</m:t>
        </m:r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G</w:t>
      </w:r>
      <w:r w:rsidRPr="0085070B">
        <w:t> – </w:t>
      </w:r>
      <w:proofErr w:type="gramStart"/>
      <w:r w:rsidRPr="0085070B">
        <w:t>доля</w:t>
      </w:r>
      <w:proofErr w:type="gramEnd"/>
      <w:r w:rsidRPr="0085070B">
        <w:t xml:space="preserve"> сформированных запасов, создаваемых в целях ГО, от необходимого на отчетную дату (%);</w:t>
      </w:r>
    </w:p>
    <w:p w:rsidR="002A0BFB" w:rsidRPr="0085070B" w:rsidRDefault="002A0BFB" w:rsidP="002A0BFB">
      <w:pPr>
        <w:pStyle w:val="aff4"/>
      </w:pPr>
      <w:proofErr w:type="spellStart"/>
      <w:r w:rsidRPr="0085070B">
        <w:rPr>
          <w:lang w:val="en-US"/>
        </w:rPr>
        <w:t>G</w:t>
      </w:r>
      <w:r w:rsidRPr="0085070B">
        <w:rPr>
          <w:vertAlign w:val="subscript"/>
          <w:lang w:val="en-US"/>
        </w:rPr>
        <w:t>f</w:t>
      </w:r>
      <w:proofErr w:type="spellEnd"/>
      <w:r w:rsidRPr="0085070B">
        <w:t> – объем фактически заложенных запасов материально-технических, продовольственных, медицинских и иных средств, создаваемых в целях ГО, на отчетную дату (млн. рублей);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t>G</w:t>
      </w:r>
      <w:r w:rsidRPr="0085070B">
        <w:rPr>
          <w:vertAlign w:val="subscript"/>
          <w:lang w:val="en-US"/>
        </w:rPr>
        <w:t>pl</w:t>
      </w:r>
      <w:proofErr w:type="spellEnd"/>
      <w:r w:rsidRPr="0085070B">
        <w:t> – плановые объемы запасов материально-технических, продовольственных, медицинских и иных средств, которые необходимо создать в целях ГО в соответствии с утвержденной номенклатурой (млн. рублей).</w:t>
      </w:r>
      <w:proofErr w:type="gramEnd"/>
    </w:p>
    <w:p w:rsidR="002A0BFB" w:rsidRPr="0085070B" w:rsidRDefault="002A0BFB" w:rsidP="002A0BFB">
      <w:pPr>
        <w:pStyle w:val="aff4"/>
      </w:pPr>
      <w:r w:rsidRPr="0085070B">
        <w:t>2.</w:t>
      </w:r>
      <w:r w:rsidR="008251FF">
        <w:t>4</w:t>
      </w:r>
      <w:r w:rsidRPr="0085070B">
        <w:t>. Доля неработающего населения муниципального района, прошедшего подготовку в области ГО, защиты от ЧС, обеспечения пожарной безопасности и безопасности людей на водных объектах посредством учебно-консультационных пунктов (</w:t>
      </w:r>
      <w:r w:rsidRPr="0085070B">
        <w:rPr>
          <w:lang w:val="en-US"/>
        </w:rPr>
        <w:t>N</w:t>
      </w:r>
      <w:r w:rsidRPr="0085070B">
        <w:t>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результаты работы по организации подготовки населения муниципального района в области ГОЧС на базе учебно-консультационных пунктов.</w:t>
      </w:r>
    </w:p>
    <w:p w:rsidR="002A0BFB" w:rsidRPr="0085070B" w:rsidRDefault="002A0BFB" w:rsidP="002A0BFB">
      <w:pPr>
        <w:pStyle w:val="aff4"/>
        <w:rPr>
          <w:sz w:val="10"/>
          <w:szCs w:val="10"/>
        </w:rPr>
      </w:pPr>
      <w:r w:rsidRPr="0085070B">
        <w:t>Рассчитывается на основе данных о численности граждан, охваченных мероприятиями по обучению и информированию в области ГО, защиты от ЧС, обеспечения пожарной безопасности и безопасности людей на водных объектах на учебно-консультационных пунктах по формуле:</w:t>
      </w:r>
    </w:p>
    <w:p w:rsidR="002A0BFB" w:rsidRPr="0085070B" w:rsidRDefault="00BD07EF" w:rsidP="002A0BFB">
      <w:pPr>
        <w:pStyle w:val="aff4"/>
        <w:rPr>
          <w:sz w:val="10"/>
          <w:szCs w:val="10"/>
        </w:rPr>
      </w:pP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466850" cy="295275"/>
            <wp:effectExtent l="0" t="0" r="0" b="0"/>
            <wp:docPr id="5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ob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den>
        </m:f>
        <m:r>
          <w:rPr>
            <w:rFonts w:ascii="Cambria Math" w:hAnsi="Cambria Math"/>
          </w:rPr>
          <m:t>×100%</m:t>
        </m:r>
      </m:oMath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362075" cy="276225"/>
            <wp:effectExtent l="0" t="0" r="0" b="0"/>
            <wp:docPr id="5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409700" cy="295275"/>
            <wp:effectExtent l="0" t="0" r="0" b="0"/>
            <wp:docPr id="54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990725" cy="295275"/>
            <wp:effectExtent l="0" t="0" r="0" b="0"/>
            <wp:docPr id="55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end"/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5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362075" cy="276225"/>
            <wp:effectExtent l="0" t="0" r="0" b="0"/>
            <wp:docPr id="5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58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5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6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6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6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6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="002A0BFB" w:rsidRPr="0085070B">
        <w:t>,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N</w:t>
      </w:r>
      <w:r w:rsidRPr="0085070B">
        <w:t> – </w:t>
      </w:r>
      <w:proofErr w:type="gramStart"/>
      <w:r w:rsidRPr="0085070B">
        <w:t>доля</w:t>
      </w:r>
      <w:proofErr w:type="gramEnd"/>
      <w:r w:rsidRPr="0085070B">
        <w:t xml:space="preserve"> неработающего населения муниципального района, прошедшего подготовку в области ГО, защиты от ЧС, обеспечения пожарной безопасности и безопасности людей на водных объектах посредством учебно-консультационных пунктов (%);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333375" cy="180975"/>
            <wp:effectExtent l="0" t="0" r="0" b="0"/>
            <wp:docPr id="6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r w:rsidR="002A0BFB" w:rsidRPr="0085070B">
        <w:rPr>
          <w:lang w:val="en-US"/>
        </w:rPr>
        <w:t>N</w:t>
      </w:r>
      <w:r w:rsidR="002A0BFB" w:rsidRPr="0085070B">
        <w:rPr>
          <w:vertAlign w:val="subscript"/>
          <w:lang w:val="en-US"/>
        </w:rPr>
        <w:t>ob</w:t>
      </w:r>
      <w:r w:rsidR="002A0BFB" w:rsidRPr="0085070B">
        <w:t> – число неработающих граждан, принявших участие в мероприятиях по обучению и информированию в области ГО, защиты от ЧС, обеспечения пожарной безопасности и безопасности людей на водных объектах на учебно-консультационных пунктах, в отчетном году (человек);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6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6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="002A0BFB" w:rsidRPr="0085070B">
        <w:rPr>
          <w:lang w:val="en-US"/>
        </w:rPr>
        <w:t>N</w:t>
      </w:r>
      <w:r w:rsidR="002A0BFB" w:rsidRPr="0085070B">
        <w:rPr>
          <w:vertAlign w:val="subscript"/>
          <w:lang w:val="en-US"/>
        </w:rPr>
        <w:t>m</w:t>
      </w:r>
      <w:r w:rsidR="002A0BFB" w:rsidRPr="0085070B">
        <w:t> – общая численность неработающего населения муниципального района на 1 января отчетного года (человек).</w:t>
      </w:r>
    </w:p>
    <w:p w:rsidR="002A0BFB" w:rsidRPr="0085070B" w:rsidRDefault="002A0BFB" w:rsidP="001121DA">
      <w:pPr>
        <w:pStyle w:val="aff6"/>
      </w:pPr>
      <w:r w:rsidRPr="0085070B">
        <w:t xml:space="preserve">3. Создание, содержание и организация </w:t>
      </w:r>
      <w:proofErr w:type="gramStart"/>
      <w:r w:rsidRPr="0085070B">
        <w:t xml:space="preserve">деятельности </w:t>
      </w:r>
      <w:r w:rsidR="001121DA">
        <w:t xml:space="preserve">районного звена </w:t>
      </w:r>
      <w:r w:rsidR="001121DA" w:rsidRPr="006B6A12">
        <w:t>территориальной подсистемы единой государственной системы предупреждения</w:t>
      </w:r>
      <w:proofErr w:type="gramEnd"/>
      <w:r w:rsidR="001121DA" w:rsidRPr="006B6A12">
        <w:t xml:space="preserve"> и ликвидации чрезвычайных ситуаций Калужской области</w:t>
      </w:r>
    </w:p>
    <w:p w:rsidR="002A0BFB" w:rsidRPr="0085070B" w:rsidRDefault="002A0BFB" w:rsidP="002A0BFB">
      <w:pPr>
        <w:pStyle w:val="aff4"/>
      </w:pPr>
      <w:r w:rsidRPr="00BE0448">
        <w:t>3.</w:t>
      </w:r>
      <w:r w:rsidR="00BE0448" w:rsidRPr="00BE0448">
        <w:t>1</w:t>
      </w:r>
      <w:r w:rsidRPr="00BE0448">
        <w:t>. Доля</w:t>
      </w:r>
      <w:r w:rsidRPr="0085070B">
        <w:t xml:space="preserve"> личного состава </w:t>
      </w:r>
      <w:r w:rsidR="00264194">
        <w:t>сил</w:t>
      </w:r>
      <w:r w:rsidR="00862E56">
        <w:t xml:space="preserve"> ТПРЧС </w:t>
      </w:r>
      <w:r w:rsidR="00264194">
        <w:t>Калужской области</w:t>
      </w:r>
      <w:r w:rsidR="00862E56">
        <w:t xml:space="preserve">, </w:t>
      </w:r>
      <w:r w:rsidRPr="0085070B">
        <w:t>созданн</w:t>
      </w:r>
      <w:r w:rsidR="00862E56">
        <w:t>ого</w:t>
      </w:r>
      <w:r w:rsidRPr="0085070B">
        <w:t xml:space="preserve"> на МП, прошедшего подготовку спасателей, от общей фактической численности (</w:t>
      </w:r>
      <w:r w:rsidRPr="0085070B">
        <w:rPr>
          <w:lang w:val="en-US"/>
        </w:rPr>
        <w:t>A</w:t>
      </w:r>
      <w:r w:rsidRPr="0085070B">
        <w:t>).</w:t>
      </w:r>
    </w:p>
    <w:p w:rsidR="002A0BFB" w:rsidRPr="0085070B" w:rsidRDefault="002A0BFB" w:rsidP="002A0BFB">
      <w:pPr>
        <w:pStyle w:val="aff4"/>
      </w:pPr>
      <w:r w:rsidRPr="0085070B">
        <w:t xml:space="preserve">Индикатор позволяет оценить результаты работы по организации функционирования </w:t>
      </w:r>
      <w:r w:rsidR="00862E56">
        <w:t xml:space="preserve">звена ТПРЧС </w:t>
      </w:r>
      <w:r w:rsidR="00862E56" w:rsidRPr="0085070B">
        <w:t>муниципального района</w:t>
      </w:r>
      <w:r w:rsidRPr="0085070B">
        <w:t>, созданн</w:t>
      </w:r>
      <w:r w:rsidR="00862E56">
        <w:t>ого</w:t>
      </w:r>
      <w:r w:rsidRPr="0085070B">
        <w:t xml:space="preserve"> на </w:t>
      </w:r>
      <w:r w:rsidR="00862E56">
        <w:t xml:space="preserve">базе </w:t>
      </w:r>
      <w:r w:rsidRPr="0085070B">
        <w:t>МП.</w:t>
      </w:r>
    </w:p>
    <w:p w:rsidR="002A0BFB" w:rsidRPr="0085070B" w:rsidRDefault="002A0BFB" w:rsidP="002A0BFB">
      <w:pPr>
        <w:pStyle w:val="aff4"/>
        <w:rPr>
          <w:sz w:val="10"/>
          <w:szCs w:val="10"/>
        </w:rPr>
      </w:pPr>
      <w:r w:rsidRPr="0085070B">
        <w:t xml:space="preserve">Рассчитывается на основе данных об общей численности личного состава </w:t>
      </w:r>
      <w:r w:rsidR="00862E56">
        <w:t xml:space="preserve">звена ТПРЧС </w:t>
      </w:r>
      <w:r w:rsidR="00862E56" w:rsidRPr="0085070B">
        <w:t>муниципального района</w:t>
      </w:r>
      <w:r w:rsidRPr="0085070B">
        <w:t xml:space="preserve">, прошедшего </w:t>
      </w:r>
      <w:r w:rsidR="00862E56">
        <w:t xml:space="preserve">подготовку спасателей </w:t>
      </w:r>
      <w:r w:rsidRPr="0085070B">
        <w:t>в государственном казенном образовательном учреждении дополнительного образования «Учебно-методический центр по гражданской обороне и чрезвычайным ситуациям Калужской области» или других образовательных учреждениях, по формуле:</w:t>
      </w:r>
    </w:p>
    <w:p w:rsidR="002A0BFB" w:rsidRPr="0085070B" w:rsidRDefault="00BD07EF" w:rsidP="002A0BFB">
      <w:pPr>
        <w:pStyle w:val="aff4"/>
        <w:rPr>
          <w:sz w:val="10"/>
          <w:szCs w:val="10"/>
        </w:rPr>
      </w:pPr>
      <w:r w:rsidRPr="0085070B">
        <w:rPr>
          <w:i/>
        </w:rPr>
        <w:fldChar w:fldCharType="begin"/>
      </w:r>
      <w:r w:rsidR="002A0BFB" w:rsidRPr="0085070B">
        <w:rPr>
          <w:i/>
        </w:rPr>
        <w:instrText xml:space="preserve"> QUOTE </w:instrText>
      </w:r>
      <w:r w:rsidR="002A0BFB" w:rsidRPr="0085070B">
        <w:rPr>
          <w:i/>
          <w:noProof/>
        </w:rPr>
        <w:drawing>
          <wp:inline distT="0" distB="0" distL="0" distR="0">
            <wp:extent cx="1466850" cy="295275"/>
            <wp:effectExtent l="0" t="0" r="0" b="0"/>
            <wp:docPr id="7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rPr>
          <w:i/>
        </w:rPr>
        <w:instrText xml:space="preserve"> </w:instrText>
      </w:r>
      <w:r w:rsidRPr="0085070B">
        <w:rPr>
          <w:i/>
        </w:rPr>
        <w:fldChar w:fldCharType="end"/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</m:den>
        </m:f>
        <m:r>
          <w:rPr>
            <w:rFonts w:ascii="Cambria Math" w:hAnsi="Cambria Math"/>
          </w:rPr>
          <m:t>×100%</m:t>
        </m:r>
      </m:oMath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362075" cy="276225"/>
            <wp:effectExtent l="0" t="0" r="0" b="0"/>
            <wp:docPr id="75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409700" cy="295275"/>
            <wp:effectExtent l="0" t="0" r="0" b="0"/>
            <wp:docPr id="7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990725" cy="295275"/>
            <wp:effectExtent l="0" t="0" r="0" b="0"/>
            <wp:docPr id="7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end"/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7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362075" cy="276225"/>
            <wp:effectExtent l="0" t="0" r="0" b="0"/>
            <wp:docPr id="79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8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8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8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8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8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8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="002A0BFB" w:rsidRPr="0085070B">
        <w:t>,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A</w:t>
      </w:r>
      <w:r w:rsidRPr="0085070B">
        <w:t xml:space="preserve"> – </w:t>
      </w:r>
      <w:proofErr w:type="gramStart"/>
      <w:r w:rsidRPr="0085070B">
        <w:t>доля</w:t>
      </w:r>
      <w:proofErr w:type="gramEnd"/>
      <w:r w:rsidRPr="0085070B">
        <w:t xml:space="preserve"> личного состава </w:t>
      </w:r>
      <w:r w:rsidR="00862E56">
        <w:t xml:space="preserve">звена ТПРЧС </w:t>
      </w:r>
      <w:r w:rsidR="00862E56" w:rsidRPr="0085070B">
        <w:t>муниципального района</w:t>
      </w:r>
      <w:r w:rsidRPr="0085070B">
        <w:t>, прошедшего подготовку спасателей, от общей штатной численности на отчетную дату (%);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333375" cy="180975"/>
            <wp:effectExtent l="0" t="0" r="0" b="0"/>
            <wp:docPr id="8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proofErr w:type="spellStart"/>
      <w:r w:rsidR="002A0BFB" w:rsidRPr="0085070B">
        <w:rPr>
          <w:lang w:val="en-US"/>
        </w:rPr>
        <w:t>A</w:t>
      </w:r>
      <w:r w:rsidR="002A0BFB" w:rsidRPr="0085070B">
        <w:rPr>
          <w:vertAlign w:val="subscript"/>
          <w:lang w:val="en-US"/>
        </w:rPr>
        <w:t>o</w:t>
      </w:r>
      <w:proofErr w:type="spellEnd"/>
      <w:r w:rsidR="002A0BFB" w:rsidRPr="0085070B">
        <w:t xml:space="preserve"> – численность личного состава</w:t>
      </w:r>
      <w:r w:rsidR="00862E56" w:rsidRPr="00862E56">
        <w:t xml:space="preserve"> </w:t>
      </w:r>
      <w:r w:rsidR="00862E56">
        <w:t xml:space="preserve">звена ТПРЧС </w:t>
      </w:r>
      <w:r w:rsidR="00862E56" w:rsidRPr="0085070B">
        <w:t>муниципального района</w:t>
      </w:r>
      <w:r w:rsidR="002A0BFB" w:rsidRPr="0085070B">
        <w:t>, созданн</w:t>
      </w:r>
      <w:r w:rsidR="00862E56">
        <w:t>ого</w:t>
      </w:r>
      <w:r w:rsidR="002A0BFB" w:rsidRPr="0085070B">
        <w:t xml:space="preserve"> на МП, прошедшего подготовку спасателей на отчетную дату (человек);</w:t>
      </w:r>
    </w:p>
    <w:p w:rsidR="002A0BFB" w:rsidRPr="0085070B" w:rsidRDefault="00BD07EF" w:rsidP="002A0BFB">
      <w:pPr>
        <w:pStyle w:val="aff4"/>
      </w:pPr>
      <w:r w:rsidRPr="0085070B">
        <w:lastRenderedPageBreak/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8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8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proofErr w:type="spellStart"/>
      <w:proofErr w:type="gramStart"/>
      <w:r w:rsidR="002A0BFB" w:rsidRPr="0085070B">
        <w:rPr>
          <w:lang w:val="en-US"/>
        </w:rPr>
        <w:t>A</w:t>
      </w:r>
      <w:r w:rsidR="002A0BFB" w:rsidRPr="0085070B">
        <w:rPr>
          <w:vertAlign w:val="subscript"/>
          <w:lang w:val="en-US"/>
        </w:rPr>
        <w:t>f</w:t>
      </w:r>
      <w:proofErr w:type="spellEnd"/>
      <w:proofErr w:type="gramEnd"/>
      <w:r w:rsidR="002A0BFB" w:rsidRPr="0085070B">
        <w:t xml:space="preserve"> – фактическая численность личного состава </w:t>
      </w:r>
      <w:r w:rsidR="00264194">
        <w:t xml:space="preserve">сил </w:t>
      </w:r>
      <w:r w:rsidR="00862E56">
        <w:t xml:space="preserve">ТПРЧС </w:t>
      </w:r>
      <w:r w:rsidR="00264194">
        <w:t>Калужской области</w:t>
      </w:r>
      <w:r w:rsidR="002A0BFB" w:rsidRPr="0085070B">
        <w:t>, созданн</w:t>
      </w:r>
      <w:r w:rsidR="00862E56">
        <w:t>ого</w:t>
      </w:r>
      <w:r w:rsidR="002A0BFB" w:rsidRPr="0085070B">
        <w:t xml:space="preserve"> на МП, на отчетную дату (человек).</w:t>
      </w:r>
    </w:p>
    <w:p w:rsidR="002A0BFB" w:rsidRPr="0085070B" w:rsidRDefault="002A0BFB" w:rsidP="002A0BFB">
      <w:pPr>
        <w:pStyle w:val="aff6"/>
      </w:pPr>
      <w:r w:rsidRPr="0085070B">
        <w:t>4. Осуществление мероприятий по обеспечению безопасности людей на водных объектах, охране их жизни и здоровья</w:t>
      </w:r>
    </w:p>
    <w:p w:rsidR="002A0BFB" w:rsidRPr="0085070B" w:rsidRDefault="002A0BFB" w:rsidP="002A0BFB">
      <w:pPr>
        <w:pStyle w:val="aff4"/>
      </w:pPr>
      <w:r w:rsidRPr="0085070B">
        <w:t>4.1. Доля традиционных мест массового отдыха населения на водных объектах на территории муниципального района, оборудованных спасательными постами (</w:t>
      </w:r>
      <w:r w:rsidRPr="0085070B">
        <w:rPr>
          <w:lang w:val="en-US"/>
        </w:rPr>
        <w:t>S</w:t>
      </w:r>
      <w:r w:rsidRPr="0085070B">
        <w:t>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работу по обеспечению безопасности людей на водных объектах на территории муниципального района.</w:t>
      </w:r>
    </w:p>
    <w:p w:rsidR="002A0BFB" w:rsidRPr="0085070B" w:rsidRDefault="002A0BFB" w:rsidP="002A0BFB">
      <w:pPr>
        <w:pStyle w:val="aff4"/>
        <w:rPr>
          <w:sz w:val="10"/>
          <w:szCs w:val="10"/>
        </w:rPr>
      </w:pPr>
      <w:r w:rsidRPr="0085070B">
        <w:t>Рассчитывается на основе данных о количестве традиционных мест массового отдыха населения на водных объектах, в том числе оборудованных спасательными постами (по итогам проверки спасательных постов Государственной инспекцией по маломерным судам Главного управления МЧС России по Калужской области), по формуле:</w:t>
      </w:r>
    </w:p>
    <w:p w:rsidR="002A0BFB" w:rsidRPr="0085070B" w:rsidRDefault="00BD07EF" w:rsidP="002A0BFB">
      <w:pPr>
        <w:pStyle w:val="aff4"/>
        <w:rPr>
          <w:sz w:val="10"/>
          <w:szCs w:val="10"/>
        </w:rPr>
      </w:pPr>
      <w:r w:rsidRPr="0085070B">
        <w:rPr>
          <w:i/>
        </w:rPr>
        <w:fldChar w:fldCharType="begin"/>
      </w:r>
      <w:r w:rsidR="002A0BFB" w:rsidRPr="0085070B">
        <w:rPr>
          <w:i/>
        </w:rPr>
        <w:instrText xml:space="preserve"> QUOTE </w:instrText>
      </w:r>
      <w:r w:rsidR="002A0BFB" w:rsidRPr="0085070B">
        <w:rPr>
          <w:i/>
          <w:noProof/>
        </w:rPr>
        <w:drawing>
          <wp:inline distT="0" distB="0" distL="0" distR="0">
            <wp:extent cx="1466850" cy="295275"/>
            <wp:effectExtent l="0" t="0" r="0" b="0"/>
            <wp:docPr id="89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rPr>
          <w:i/>
        </w:rPr>
        <w:instrText xml:space="preserve"> </w:instrText>
      </w:r>
      <w:r w:rsidRPr="0085070B">
        <w:rPr>
          <w:i/>
        </w:rPr>
        <w:fldChar w:fldCharType="end"/>
      </w:r>
      <w:r w:rsidR="002A0BFB" w:rsidRPr="0085070B">
        <w:rPr>
          <w:i/>
          <w:lang w:val="en-US"/>
        </w:rPr>
        <w:t>S</w:t>
      </w:r>
      <m:oMath>
        <m:r>
          <w:rPr>
            <w:rFonts w:ascii="Cambria Math" w:hAnsi="Cambria Math"/>
          </w:rPr>
          <m:t xml:space="preserve"> 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</m:den>
        </m:f>
        <m:r>
          <w:rPr>
            <w:rFonts w:ascii="Cambria Math" w:hAnsi="Cambria Math"/>
          </w:rPr>
          <m:t>×100%</m:t>
        </m:r>
      </m:oMath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362075" cy="276225"/>
            <wp:effectExtent l="0" t="0" r="0" b="0"/>
            <wp:docPr id="9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409700" cy="295275"/>
            <wp:effectExtent l="0" t="0" r="0" b="0"/>
            <wp:docPr id="9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990725" cy="295275"/>
            <wp:effectExtent l="0" t="0" r="0" b="0"/>
            <wp:docPr id="9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end"/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9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1362075" cy="276225"/>
            <wp:effectExtent l="0" t="0" r="0" b="0"/>
            <wp:docPr id="9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9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0" b="0"/>
            <wp:docPr id="9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9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10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10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0"/>
            <wp:docPr id="10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r w:rsidR="002A0BFB" w:rsidRPr="0085070B">
        <w:t>,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S</w:t>
      </w:r>
      <w:r w:rsidRPr="0085070B">
        <w:t xml:space="preserve"> – </w:t>
      </w:r>
      <w:proofErr w:type="gramStart"/>
      <w:r w:rsidRPr="0085070B">
        <w:t>доля</w:t>
      </w:r>
      <w:proofErr w:type="gramEnd"/>
      <w:r w:rsidRPr="0085070B">
        <w:t xml:space="preserve"> традиционных мест массового отдыха населения на водных объектах на территории муниципального района, оборудованных спасательными постами, в отчетном году (%);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</w:rPr>
        <w:drawing>
          <wp:inline distT="0" distB="0" distL="0" distR="0">
            <wp:extent cx="333375" cy="180975"/>
            <wp:effectExtent l="0" t="0" r="0" b="0"/>
            <wp:docPr id="10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end"/>
      </w:r>
      <w:r w:rsidR="002A0BFB" w:rsidRPr="0085070B">
        <w:rPr>
          <w:lang w:val="en-US"/>
        </w:rPr>
        <w:t>S</w:t>
      </w:r>
      <w:r w:rsidR="002A0BFB" w:rsidRPr="0085070B">
        <w:rPr>
          <w:vertAlign w:val="subscript"/>
          <w:lang w:val="en-US"/>
        </w:rPr>
        <w:t>p</w:t>
      </w:r>
      <w:r w:rsidR="002A0BFB" w:rsidRPr="0085070B">
        <w:t xml:space="preserve"> – количество традиционных мест массового отдыха населения на водных объектах на территории муниципального района, оборудованных спасательными постами, в отчетном году (единиц);</w:t>
      </w:r>
    </w:p>
    <w:p w:rsidR="002A0BFB" w:rsidRPr="0085070B" w:rsidRDefault="00BD07EF" w:rsidP="002A0BFB">
      <w:pPr>
        <w:pStyle w:val="aff4"/>
      </w:pPr>
      <w:r w:rsidRPr="0085070B">
        <w:fldChar w:fldCharType="begin"/>
      </w:r>
      <w:r w:rsidR="002A0BFB" w:rsidRPr="0085070B">
        <w:instrText xml:space="preserve"> QUOTE </w:instrText>
      </w:r>
      <w:r w:rsidRPr="0085070B">
        <w:fldChar w:fldCharType="begin"/>
      </w:r>
      <w:r w:rsidR="002A0BFB" w:rsidRPr="0085070B">
        <w:instrText xml:space="preserve"> QUOTE </w:instrText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10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BFB" w:rsidRPr="0085070B">
        <w:instrText xml:space="preserve"> </w:instrText>
      </w:r>
      <w:r w:rsidRPr="0085070B">
        <w:fldChar w:fldCharType="separate"/>
      </w:r>
      <w:r w:rsidR="002A0BFB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0" b="0"/>
            <wp:docPr id="10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fldChar w:fldCharType="end"/>
      </w:r>
      <w:r w:rsidR="002A0BFB" w:rsidRPr="0085070B">
        <w:instrText xml:space="preserve"> </w:instrText>
      </w:r>
      <w:r w:rsidRPr="0085070B">
        <w:fldChar w:fldCharType="end"/>
      </w:r>
      <w:proofErr w:type="gramStart"/>
      <w:r w:rsidR="002A0BFB" w:rsidRPr="0085070B">
        <w:rPr>
          <w:lang w:val="en-US"/>
        </w:rPr>
        <w:t>S</w:t>
      </w:r>
      <w:r w:rsidR="002A0BFB" w:rsidRPr="0085070B">
        <w:rPr>
          <w:vertAlign w:val="subscript"/>
          <w:lang w:val="en-US"/>
        </w:rPr>
        <w:t>o</w:t>
      </w:r>
      <w:r w:rsidR="002A0BFB" w:rsidRPr="0085070B">
        <w:t xml:space="preserve"> – фактическое число традиционных мест массового отдыха населения на водных объектах на территории муниципального района (единиц).</w:t>
      </w:r>
      <w:proofErr w:type="gramEnd"/>
    </w:p>
    <w:p w:rsidR="002A0BFB" w:rsidRPr="0085070B" w:rsidRDefault="002A0BFB" w:rsidP="002A0BFB">
      <w:pPr>
        <w:pStyle w:val="aff6"/>
      </w:pPr>
      <w:r w:rsidRPr="0085070B">
        <w:t>5. Обеспечение первичных мер пожарной безопасности в границах муниципального района за границами городских и сельских населенных пунктов</w:t>
      </w:r>
    </w:p>
    <w:p w:rsidR="002A0BFB" w:rsidRPr="0085070B" w:rsidRDefault="002A0BFB" w:rsidP="002A0BFB">
      <w:pPr>
        <w:pStyle w:val="aff4"/>
      </w:pPr>
      <w:r w:rsidRPr="0085070B">
        <w:t>5.1. Сокращение числа погибших вследствие пожаров на территории муниципального района (к уровню 202</w:t>
      </w:r>
      <w:r w:rsidRPr="003206EC">
        <w:t xml:space="preserve">1 </w:t>
      </w:r>
      <w:r w:rsidRPr="0085070B">
        <w:t>года) (</w:t>
      </w:r>
      <w:r w:rsidRPr="0085070B">
        <w:rPr>
          <w:lang w:val="en-US"/>
        </w:rPr>
        <w:t>P</w:t>
      </w:r>
      <w:r w:rsidRPr="0085070B">
        <w:t>).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результативность мероприятий, направленных на повышение эффективности действий органов управления и сил районного звена ТП РСЧС Калужской области по профилактике и тушению пожаров.</w:t>
      </w:r>
    </w:p>
    <w:p w:rsidR="002A0BFB" w:rsidRPr="0085070B" w:rsidRDefault="002A0BFB" w:rsidP="002A0BFB">
      <w:pPr>
        <w:pStyle w:val="aff4"/>
      </w:pPr>
      <w:r w:rsidRPr="0085070B">
        <w:t xml:space="preserve">Индикатор рассчитывается на основе данных мониторинга </w:t>
      </w:r>
      <w:r>
        <w:t>числа погибших вследствие</w:t>
      </w:r>
      <w:r w:rsidRPr="0085070B">
        <w:t xml:space="preserve"> пожаров, зарегистрированных на территории муниципального района, осуществляемого МКУ «ЕДДС»,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</m:den>
        </m:f>
        <m:r>
          <w:rPr>
            <w:rFonts w:ascii="Cambria Math" w:hAnsi="Cambria Math"/>
          </w:rPr>
          <m:t>х 100%</m:t>
        </m:r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P</w:t>
      </w:r>
      <w:r w:rsidRPr="0085070B">
        <w:t> – </w:t>
      </w:r>
      <w:proofErr w:type="gramStart"/>
      <w:r w:rsidRPr="0085070B">
        <w:t>сокращение</w:t>
      </w:r>
      <w:proofErr w:type="gramEnd"/>
      <w:r w:rsidRPr="0085070B">
        <w:t xml:space="preserve"> числа погибших вследствие пожаров на территории муниципального района за отчетный период </w:t>
      </w:r>
      <w:r>
        <w:t>(</w:t>
      </w:r>
      <w:r w:rsidRPr="0085070B">
        <w:t>к уровню 202</w:t>
      </w:r>
      <w:r w:rsidRPr="003206EC">
        <w:t xml:space="preserve">1 </w:t>
      </w:r>
      <w:r w:rsidRPr="0085070B">
        <w:t>года</w:t>
      </w:r>
      <w:r>
        <w:t>)</w:t>
      </w:r>
      <w:r w:rsidRPr="0085070B">
        <w:t xml:space="preserve"> (%);</w:t>
      </w:r>
    </w:p>
    <w:p w:rsidR="002A0BFB" w:rsidRPr="0085070B" w:rsidRDefault="002A0BFB" w:rsidP="002A0BFB">
      <w:pPr>
        <w:pStyle w:val="aff4"/>
      </w:pPr>
      <w:proofErr w:type="spellStart"/>
      <w:r w:rsidRPr="0085070B">
        <w:rPr>
          <w:lang w:val="en-US"/>
        </w:rPr>
        <w:t>P</w:t>
      </w:r>
      <w:r w:rsidRPr="0085070B">
        <w:rPr>
          <w:vertAlign w:val="subscript"/>
          <w:lang w:val="en-US"/>
        </w:rPr>
        <w:t>n</w:t>
      </w:r>
      <w:proofErr w:type="spellEnd"/>
      <w:r w:rsidRPr="0085070B">
        <w:t> – число погибших на пожарах, зарегистрированных на территории муниципального района в отчетном году (человек);</w:t>
      </w:r>
    </w:p>
    <w:p w:rsidR="002A0BFB" w:rsidRPr="0085070B" w:rsidRDefault="002A0BFB" w:rsidP="002A0BFB">
      <w:pPr>
        <w:pStyle w:val="aff4"/>
      </w:pPr>
      <w:proofErr w:type="gramStart"/>
      <w:r w:rsidRPr="0085070B">
        <w:rPr>
          <w:lang w:val="en-US"/>
        </w:rPr>
        <w:t>P</w:t>
      </w:r>
      <w:r w:rsidRPr="0085070B">
        <w:rPr>
          <w:vertAlign w:val="subscript"/>
        </w:rPr>
        <w:t>2</w:t>
      </w:r>
      <w:r w:rsidRPr="00A76D9F">
        <w:rPr>
          <w:vertAlign w:val="subscript"/>
        </w:rPr>
        <w:t>1</w:t>
      </w:r>
      <w:r w:rsidRPr="0085070B">
        <w:t> – число погибших на пожарах, зарегистрированных на территории муниципального района в 202</w:t>
      </w:r>
      <w:r>
        <w:t>1</w:t>
      </w:r>
      <w:r w:rsidRPr="0085070B">
        <w:t xml:space="preserve"> году (человек).</w:t>
      </w:r>
      <w:proofErr w:type="gramEnd"/>
    </w:p>
    <w:p w:rsidR="002A0BFB" w:rsidRPr="0085070B" w:rsidRDefault="002A0BFB" w:rsidP="002A0BFB">
      <w:pPr>
        <w:pStyle w:val="aff4"/>
      </w:pPr>
      <w:r w:rsidRPr="0085070B">
        <w:t xml:space="preserve">5.2. Доля реализованных мероприятий по обеспечению первичных мер пожарной безопасности в границах муниципального района за границами городских и сельских населенных пунктов, </w:t>
      </w:r>
      <w:proofErr w:type="gramStart"/>
      <w:r w:rsidRPr="0085070B">
        <w:t>от</w:t>
      </w:r>
      <w:proofErr w:type="gramEnd"/>
      <w:r w:rsidRPr="0085070B">
        <w:t xml:space="preserve"> запланированных (</w:t>
      </w:r>
      <w:r w:rsidRPr="0085070B">
        <w:rPr>
          <w:lang w:val="en-US"/>
        </w:rPr>
        <w:t>M</w:t>
      </w:r>
      <w:r w:rsidRPr="0085070B">
        <w:t>):</w:t>
      </w:r>
    </w:p>
    <w:p w:rsidR="002A0BFB" w:rsidRPr="0085070B" w:rsidRDefault="002A0BFB" w:rsidP="002A0BFB">
      <w:pPr>
        <w:pStyle w:val="aff4"/>
      </w:pPr>
      <w:proofErr w:type="gramStart"/>
      <w:r w:rsidRPr="0085070B">
        <w:t>Индикатор позволяет оценить полноту проведения органами управления и силами районного звена ТП РСЧС Калужской области мероприятий, направленных на обеспечение защищенности населения и территории муниципального района от пожаров.</w:t>
      </w:r>
      <w:proofErr w:type="gramEnd"/>
    </w:p>
    <w:p w:rsidR="002A0BFB" w:rsidRPr="0085070B" w:rsidRDefault="002A0BFB" w:rsidP="002A0BFB">
      <w:pPr>
        <w:pStyle w:val="aff4"/>
      </w:pPr>
      <w:r w:rsidRPr="0085070B">
        <w:t>Индикатор рассчитывается на основе данных по выполнению плана мероприятий по обеспечению первичных мер пожарной безопасности на территории муниципального района,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w:lastRenderedPageBreak/>
          <m:t>M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pl</m:t>
                </m:r>
              </m:sub>
            </m:sSub>
          </m:den>
        </m:f>
        <m:r>
          <w:rPr>
            <w:rFonts w:ascii="Cambria Math" w:hAnsi="Cambria Math"/>
          </w:rPr>
          <m:t>х 100%</m:t>
        </m:r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M</w:t>
      </w:r>
      <w:r w:rsidRPr="0085070B">
        <w:t> – </w:t>
      </w:r>
      <w:proofErr w:type="gramStart"/>
      <w:r w:rsidRPr="0085070B">
        <w:t>доля</w:t>
      </w:r>
      <w:proofErr w:type="gramEnd"/>
      <w:r w:rsidRPr="0085070B">
        <w:t xml:space="preserve"> реализованных мероприятий по обеспечению первичных мер пожарной безопасности в границах муниципального района за границами городских и сельских населенных пунктов, от запланированных за отчетный год (%);</w:t>
      </w:r>
    </w:p>
    <w:p w:rsidR="002A0BFB" w:rsidRPr="0085070B" w:rsidRDefault="002A0BFB" w:rsidP="002A0BFB">
      <w:pPr>
        <w:pStyle w:val="aff4"/>
      </w:pPr>
      <w:proofErr w:type="spellStart"/>
      <w:r w:rsidRPr="0085070B">
        <w:rPr>
          <w:lang w:val="en-US"/>
        </w:rPr>
        <w:t>M</w:t>
      </w:r>
      <w:r w:rsidRPr="0085070B">
        <w:rPr>
          <w:vertAlign w:val="subscript"/>
          <w:lang w:val="en-US"/>
        </w:rPr>
        <w:t>n</w:t>
      </w:r>
      <w:proofErr w:type="spellEnd"/>
      <w:r w:rsidRPr="0085070B">
        <w:t> – число выполненных мероприятий по обеспечению первичных мер пожарной безопасности в границах муниципального района за границами городских и сельских населенных пунктов за отчетный год (единиц);</w:t>
      </w:r>
    </w:p>
    <w:p w:rsidR="002A0BFB" w:rsidRPr="0085070B" w:rsidRDefault="002A0BFB" w:rsidP="002A0BFB">
      <w:pPr>
        <w:pStyle w:val="aff4"/>
      </w:pPr>
      <w:proofErr w:type="spellStart"/>
      <w:proofErr w:type="gramStart"/>
      <w:r w:rsidRPr="0085070B">
        <w:rPr>
          <w:lang w:val="en-US"/>
        </w:rPr>
        <w:t>M</w:t>
      </w:r>
      <w:r w:rsidRPr="0085070B">
        <w:rPr>
          <w:vertAlign w:val="subscript"/>
          <w:lang w:val="en-US"/>
        </w:rPr>
        <w:t>pl</w:t>
      </w:r>
      <w:proofErr w:type="spellEnd"/>
      <w:r w:rsidRPr="0085070B">
        <w:t> – число запланированных на отчетный год мероприятий по обеспечению первичных мер пожарной безопасности в границах муниципального района за границами городских и сельских населенных пунктов (единиц).</w:t>
      </w:r>
      <w:proofErr w:type="gramEnd"/>
    </w:p>
    <w:p w:rsidR="002A0BFB" w:rsidRPr="0085070B" w:rsidRDefault="002A0BFB" w:rsidP="002A0BFB">
      <w:pPr>
        <w:pStyle w:val="aff4"/>
      </w:pPr>
      <w:r w:rsidRPr="0085070B">
        <w:t>5.3. Доля пожаров на территории муниципального района, потушенных с привлечением подразделений добровольной пожарной охраны, от общего количества (</w:t>
      </w:r>
      <w:r w:rsidRPr="0085070B">
        <w:rPr>
          <w:lang w:val="en-US"/>
        </w:rPr>
        <w:t>D</w:t>
      </w:r>
      <w:r w:rsidRPr="0085070B">
        <w:t>)</w:t>
      </w:r>
    </w:p>
    <w:p w:rsidR="002A0BFB" w:rsidRPr="0085070B" w:rsidRDefault="002A0BFB" w:rsidP="002A0BFB">
      <w:pPr>
        <w:pStyle w:val="aff4"/>
      </w:pPr>
      <w:r w:rsidRPr="0085070B">
        <w:t>Индикатор позволяет оценить работу по развитию добровольной пожарной охраны на территории муниципального района.</w:t>
      </w:r>
    </w:p>
    <w:p w:rsidR="002A0BFB" w:rsidRPr="0085070B" w:rsidRDefault="002A0BFB" w:rsidP="002A0BFB">
      <w:pPr>
        <w:pStyle w:val="aff4"/>
      </w:pPr>
      <w:r w:rsidRPr="0085070B">
        <w:t>Индикатор рассчитывается на основе данных Главного управления МЧС России по Калужской области по количеству зарегистрированных пожаров на территории муниципального района и числу выездов на них подразделений добровольной пожарной охраны по формуле:</w:t>
      </w:r>
    </w:p>
    <w:p w:rsidR="002A0BFB" w:rsidRPr="0085070B" w:rsidRDefault="002A0BFB" w:rsidP="002A0BFB">
      <w:pPr>
        <w:pStyle w:val="aff4"/>
      </w:pPr>
      <m:oMath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P</m:t>
            </m:r>
          </m:den>
        </m:f>
        <m:r>
          <w:rPr>
            <w:rFonts w:ascii="Cambria Math" w:hAnsi="Cambria Math"/>
          </w:rPr>
          <m:t>х 100%</m:t>
        </m:r>
      </m:oMath>
      <w:r w:rsidRPr="0085070B">
        <w:rPr>
          <w:i/>
        </w:rPr>
        <w:t>,</w:t>
      </w:r>
      <w:r w:rsidRPr="0085070B">
        <w:t xml:space="preserve"> где:</w:t>
      </w:r>
    </w:p>
    <w:p w:rsidR="002A0BFB" w:rsidRPr="0085070B" w:rsidRDefault="002A0BFB" w:rsidP="002A0BFB">
      <w:pPr>
        <w:pStyle w:val="aff4"/>
      </w:pPr>
      <w:r w:rsidRPr="0085070B">
        <w:rPr>
          <w:lang w:val="en-US"/>
        </w:rPr>
        <w:t>D</w:t>
      </w:r>
      <w:r w:rsidRPr="0085070B">
        <w:t> – </w:t>
      </w:r>
      <w:proofErr w:type="gramStart"/>
      <w:r w:rsidRPr="0085070B">
        <w:t>доля</w:t>
      </w:r>
      <w:proofErr w:type="gramEnd"/>
      <w:r w:rsidRPr="0085070B">
        <w:t xml:space="preserve"> пожаров на территории муниципального района, потушенных с привлечением подразделений добровольной пожарной охраны за отчетный год (%);</w:t>
      </w:r>
    </w:p>
    <w:p w:rsidR="002A0BFB" w:rsidRPr="0085070B" w:rsidRDefault="002A0BFB" w:rsidP="002A0BFB">
      <w:pPr>
        <w:pStyle w:val="aff4"/>
      </w:pPr>
      <w:proofErr w:type="spellStart"/>
      <w:r w:rsidRPr="0085070B">
        <w:rPr>
          <w:lang w:val="en-US"/>
        </w:rPr>
        <w:t>D</w:t>
      </w:r>
      <w:r w:rsidRPr="0085070B">
        <w:rPr>
          <w:vertAlign w:val="subscript"/>
          <w:lang w:val="en-US"/>
        </w:rPr>
        <w:t>n</w:t>
      </w:r>
      <w:proofErr w:type="spellEnd"/>
      <w:r w:rsidRPr="0085070B">
        <w:t> – количество пожаров, зарегистрированных на территории муниципального района, потушенных с привлечением подразделений добровольной пожарной охраны, за отчетный год (единиц);</w:t>
      </w:r>
    </w:p>
    <w:p w:rsidR="002A0BFB" w:rsidRDefault="002A0BFB" w:rsidP="002A0BFB">
      <w:pPr>
        <w:pStyle w:val="aff4"/>
      </w:pPr>
      <w:r w:rsidRPr="0085070B">
        <w:rPr>
          <w:lang w:val="en-US"/>
        </w:rPr>
        <w:t>P</w:t>
      </w:r>
      <w:r w:rsidRPr="0085070B">
        <w:t> – </w:t>
      </w:r>
      <w:proofErr w:type="gramStart"/>
      <w:r w:rsidRPr="0085070B">
        <w:t>общее</w:t>
      </w:r>
      <w:proofErr w:type="gramEnd"/>
      <w:r w:rsidRPr="0085070B">
        <w:t xml:space="preserve"> количество пожаров, потушенных подразделениями пожарной охраны на территории муниципального района за отчетный год, по данным Главного управления МЧС России по Калужской области (единиц).</w:t>
      </w:r>
    </w:p>
    <w:p w:rsidR="00C36532" w:rsidRPr="00C36532" w:rsidRDefault="00C36532" w:rsidP="002A0BFB">
      <w:pPr>
        <w:pStyle w:val="aff4"/>
      </w:pPr>
    </w:p>
    <w:p w:rsidR="00D319E4" w:rsidRPr="00D319E4" w:rsidRDefault="00D319E4" w:rsidP="00D319E4">
      <w:pPr>
        <w:pStyle w:val="aff4"/>
        <w:rPr>
          <w:bCs/>
        </w:rPr>
      </w:pPr>
      <w:r w:rsidRPr="00D319E4">
        <w:rPr>
          <w:bCs/>
        </w:rPr>
        <w:t>Конечные результаты реализации муниципальной программы:</w:t>
      </w:r>
    </w:p>
    <w:p w:rsidR="00D319E4" w:rsidRPr="00D319E4" w:rsidRDefault="00D319E4" w:rsidP="00D319E4">
      <w:pPr>
        <w:pStyle w:val="aff4"/>
        <w:rPr>
          <w:bCs/>
        </w:rPr>
      </w:pPr>
      <w:r w:rsidRPr="00D319E4">
        <w:rPr>
          <w:bCs/>
        </w:rPr>
        <w:t xml:space="preserve">- повышение уровня защищенности населения, территорий и критически важных объектов </w:t>
      </w:r>
      <w:r w:rsidR="009B1E15">
        <w:rPr>
          <w:bCs/>
        </w:rPr>
        <w:t xml:space="preserve">Спас-Деменского </w:t>
      </w:r>
      <w:r w:rsidRPr="00D319E4">
        <w:rPr>
          <w:bCs/>
        </w:rPr>
        <w:t>района от опасностей и угроз мирного и военного времени;</w:t>
      </w:r>
    </w:p>
    <w:p w:rsidR="00D319E4" w:rsidRPr="00D319E4" w:rsidRDefault="00D319E4" w:rsidP="00D319E4">
      <w:pPr>
        <w:pStyle w:val="aff4"/>
        <w:rPr>
          <w:bCs/>
        </w:rPr>
      </w:pPr>
      <w:r w:rsidRPr="00D319E4">
        <w:rPr>
          <w:bCs/>
        </w:rPr>
        <w:t>- повышение эффективности деятельности органов управления и сил ГО;</w:t>
      </w:r>
    </w:p>
    <w:p w:rsidR="00D319E4" w:rsidRPr="00D319E4" w:rsidRDefault="00D319E4" w:rsidP="00D319E4">
      <w:pPr>
        <w:pStyle w:val="aff4"/>
        <w:rPr>
          <w:bCs/>
        </w:rPr>
      </w:pPr>
      <w:r w:rsidRPr="00D319E4">
        <w:rPr>
          <w:bCs/>
        </w:rPr>
        <w:t xml:space="preserve">- повышение </w:t>
      </w:r>
      <w:proofErr w:type="gramStart"/>
      <w:r w:rsidRPr="00D319E4">
        <w:rPr>
          <w:bCs/>
        </w:rPr>
        <w:t>эффективности использования средств бюджетов различного уровня</w:t>
      </w:r>
      <w:proofErr w:type="gramEnd"/>
      <w:r w:rsidRPr="00D319E4">
        <w:rPr>
          <w:bCs/>
        </w:rPr>
        <w:t xml:space="preserve"> и организаций для решения приоритетных задач по обеспечению защиты населения и территорий в условиях мирного и военного времени;</w:t>
      </w:r>
    </w:p>
    <w:p w:rsidR="00D319E4" w:rsidRPr="00D319E4" w:rsidRDefault="00D319E4" w:rsidP="00D319E4">
      <w:pPr>
        <w:pStyle w:val="aff4"/>
        <w:rPr>
          <w:bCs/>
        </w:rPr>
      </w:pPr>
      <w:r w:rsidRPr="00D319E4">
        <w:rPr>
          <w:bCs/>
        </w:rPr>
        <w:t>- создание и поддержание в готовности региональных систем комплексной безопасности.</w:t>
      </w:r>
    </w:p>
    <w:p w:rsidR="00D319E4" w:rsidRPr="00D319E4" w:rsidRDefault="00D319E4" w:rsidP="00D319E4">
      <w:pPr>
        <w:pStyle w:val="aff4"/>
        <w:rPr>
          <w:bCs/>
        </w:rPr>
      </w:pPr>
      <w:r w:rsidRPr="00D319E4">
        <w:rPr>
          <w:bCs/>
        </w:rPr>
        <w:t>Сроки и этапы реализации муниципальной программы.</w:t>
      </w:r>
    </w:p>
    <w:p w:rsidR="00D319E4" w:rsidRPr="00D319E4" w:rsidRDefault="00D319E4" w:rsidP="00D319E4">
      <w:pPr>
        <w:pStyle w:val="aff4"/>
        <w:rPr>
          <w:bCs/>
        </w:rPr>
      </w:pPr>
      <w:r w:rsidRPr="00D319E4">
        <w:rPr>
          <w:bCs/>
        </w:rPr>
        <w:t xml:space="preserve">Муниципальная программа предусматривает комплекс мероприятий, </w:t>
      </w:r>
      <w:proofErr w:type="gramStart"/>
      <w:r w:rsidRPr="00D319E4">
        <w:rPr>
          <w:bCs/>
        </w:rPr>
        <w:t>которые</w:t>
      </w:r>
      <w:proofErr w:type="gramEnd"/>
      <w:r w:rsidRPr="00D319E4">
        <w:rPr>
          <w:bCs/>
        </w:rPr>
        <w:t xml:space="preserve"> предполагается выполнить в течение 20</w:t>
      </w:r>
      <w:r>
        <w:rPr>
          <w:bCs/>
        </w:rPr>
        <w:t>23</w:t>
      </w:r>
      <w:r w:rsidRPr="00D319E4">
        <w:rPr>
          <w:bCs/>
        </w:rPr>
        <w:t xml:space="preserve"> - 202</w:t>
      </w:r>
      <w:r>
        <w:rPr>
          <w:bCs/>
        </w:rPr>
        <w:t>7</w:t>
      </w:r>
      <w:r w:rsidRPr="00D319E4">
        <w:rPr>
          <w:bCs/>
        </w:rPr>
        <w:t xml:space="preserve"> годов.</w:t>
      </w:r>
    </w:p>
    <w:p w:rsidR="00D319E4" w:rsidRDefault="00D319E4" w:rsidP="00D319E4">
      <w:pPr>
        <w:pStyle w:val="aff4"/>
        <w:rPr>
          <w:bCs/>
        </w:rPr>
      </w:pPr>
      <w:r w:rsidRPr="00D319E4">
        <w:rPr>
          <w:bCs/>
        </w:rPr>
        <w:t xml:space="preserve">Выполнение </w:t>
      </w:r>
      <w:proofErr w:type="gramStart"/>
      <w:r w:rsidRPr="00D319E4">
        <w:rPr>
          <w:bCs/>
        </w:rPr>
        <w:t>основных</w:t>
      </w:r>
      <w:proofErr w:type="gramEnd"/>
      <w:r w:rsidRPr="00D319E4">
        <w:rPr>
          <w:bCs/>
        </w:rPr>
        <w:t xml:space="preserve"> мероприятий предусмотрено в течение всего срока действия муниципальной программы.</w:t>
      </w:r>
    </w:p>
    <w:p w:rsidR="00D026EA" w:rsidRDefault="00D026EA" w:rsidP="00D319E4">
      <w:pPr>
        <w:pStyle w:val="aff4"/>
        <w:rPr>
          <w:bCs/>
        </w:rPr>
      </w:pPr>
    </w:p>
    <w:p w:rsidR="002A0BFB" w:rsidRPr="0085070B" w:rsidRDefault="002A0BFB" w:rsidP="002A0BFB">
      <w:pPr>
        <w:pStyle w:val="aff8"/>
      </w:pPr>
      <w:r w:rsidRPr="0085070B">
        <w:t xml:space="preserve">3. Обобщенная характеристика </w:t>
      </w:r>
      <w:proofErr w:type="gramStart"/>
      <w:r w:rsidRPr="0085070B">
        <w:t>основных</w:t>
      </w:r>
      <w:proofErr w:type="gramEnd"/>
      <w:r w:rsidRPr="0085070B">
        <w:t xml:space="preserve"> мероприятий</w:t>
      </w:r>
      <w:r w:rsidRPr="0085070B">
        <w:br/>
        <w:t>муниципальной программы</w:t>
      </w:r>
    </w:p>
    <w:p w:rsidR="002A0BFB" w:rsidRPr="0085070B" w:rsidRDefault="002A0BFB" w:rsidP="002A0BFB">
      <w:pPr>
        <w:rPr>
          <w:sz w:val="16"/>
          <w:szCs w:val="16"/>
        </w:rPr>
      </w:pPr>
    </w:p>
    <w:p w:rsidR="002A0BFB" w:rsidRPr="0085070B" w:rsidRDefault="002A0BFB" w:rsidP="002A0BFB">
      <w:pPr>
        <w:pStyle w:val="aff4"/>
      </w:pPr>
      <w:r w:rsidRPr="0085070B">
        <w:t>Реализация мероприятий будет способствовать достижению цели муниципальной программы «Повышение уровня защищенности населения и территории муниципального района от опасностей, возникающих при ЧС, пожарах и иных происшествиях, при военных конфликтах</w:t>
      </w:r>
      <w:r w:rsidR="00AE12F4">
        <w:t xml:space="preserve"> или вследствие этих конфликтов</w:t>
      </w:r>
      <w:r w:rsidRPr="0085070B">
        <w:t>».</w:t>
      </w:r>
    </w:p>
    <w:p w:rsidR="002A0BFB" w:rsidRPr="0085070B" w:rsidRDefault="002A0BFB" w:rsidP="002A0BFB">
      <w:pPr>
        <w:pStyle w:val="aff4"/>
      </w:pPr>
      <w:r w:rsidRPr="0085070B">
        <w:lastRenderedPageBreak/>
        <w:t>Достижение заявленной цели и решение поставленных задач программы будут осуществляться путем реализации следующих основных мероприятий:</w:t>
      </w:r>
    </w:p>
    <w:p w:rsidR="007B533E" w:rsidRDefault="007B533E" w:rsidP="002A0BFB">
      <w:pPr>
        <w:pStyle w:val="aff8"/>
      </w:pPr>
    </w:p>
    <w:p w:rsidR="002A0BFB" w:rsidRPr="0085070B" w:rsidRDefault="002A0BFB" w:rsidP="002A0BFB">
      <w:pPr>
        <w:pStyle w:val="aff8"/>
      </w:pPr>
      <w:r w:rsidRPr="0085070B">
        <w:t>3.1. Участие в предупреждении и ликвидации последствий ЧС</w:t>
      </w:r>
      <w:r w:rsidRPr="0085070B">
        <w:br/>
        <w:t>на территории муниципального района</w:t>
      </w:r>
    </w:p>
    <w:p w:rsidR="00C4040F" w:rsidRDefault="00C4040F" w:rsidP="002A0BFB">
      <w:pPr>
        <w:pStyle w:val="aff4"/>
      </w:pPr>
    </w:p>
    <w:p w:rsidR="002A0BFB" w:rsidRPr="0085070B" w:rsidRDefault="002A0BFB" w:rsidP="002A0BFB">
      <w:pPr>
        <w:pStyle w:val="aff4"/>
      </w:pPr>
      <w:r w:rsidRPr="0085070B">
        <w:t>Краткая характеристика основного мероприятия:</w:t>
      </w:r>
    </w:p>
    <w:p w:rsidR="002A0BFB" w:rsidRPr="0085070B" w:rsidRDefault="002A0BFB" w:rsidP="002A0BFB">
      <w:pPr>
        <w:pStyle w:val="aff4"/>
      </w:pPr>
      <w:r w:rsidRPr="0085070B">
        <w:t>- решает задачу «Обеспечение предупреждения и ликвидации ЧС, пожаров и происшествий на водных объектах на территории муниципального района»;</w:t>
      </w:r>
    </w:p>
    <w:p w:rsidR="002A0BFB" w:rsidRPr="0085070B" w:rsidRDefault="002A0BFB" w:rsidP="002A0BFB">
      <w:pPr>
        <w:pStyle w:val="aff4"/>
      </w:pPr>
      <w:r w:rsidRPr="0085070B">
        <w:t>- позволит реализовать на территории муниципального района требования Федерального закона «О защите населения и территорий от чрезвычайных ситуаций природного и техногенного характера», предъявляемые к муниципальным образованиям;</w:t>
      </w:r>
    </w:p>
    <w:p w:rsidR="002A0BFB" w:rsidRPr="0085070B" w:rsidRDefault="002A0BFB" w:rsidP="002A0BFB">
      <w:pPr>
        <w:pStyle w:val="aff4"/>
      </w:pPr>
      <w:proofErr w:type="gramStart"/>
      <w:r w:rsidRPr="0085070B">
        <w:t>- способствует достижению индикаторов муниципальной программы «Уровень готовности МКУ «ЕДДС» к действиям по предназначению», «Количество публикаций по теме обеспечения безопасности жизнедеятельности населения, размещенных в средствах массовой информации постоянно действующим органом управления районного звена ТП РСЧС Калужской области», «Уровень готовности ПВР к приему населения, эвакуируемого при ЧС», «Доля созданных резервов материальных ресурсов для ликвидации ЧС на территории муниципального района, от необходимого», «Сокращение</w:t>
      </w:r>
      <w:proofErr w:type="gramEnd"/>
      <w:r w:rsidRPr="0085070B">
        <w:t xml:space="preserve"> числа вызовов на номер «112» от населения муниципального района, переадресованных из МКУ «ЕДДС» в Центр обработки вызовов системы-112 Калужской области (к уровню 202</w:t>
      </w:r>
      <w:r w:rsidR="00C4040F">
        <w:t>2</w:t>
      </w:r>
      <w:r w:rsidRPr="0085070B">
        <w:t xml:space="preserve"> года)» и «Доля камер фот</w:t>
      </w:r>
      <w:proofErr w:type="gramStart"/>
      <w:r w:rsidRPr="0085070B">
        <w:t>о-</w:t>
      </w:r>
      <w:proofErr w:type="gramEnd"/>
      <w:r w:rsidRPr="0085070B">
        <w:t xml:space="preserve"> </w:t>
      </w:r>
      <w:r>
        <w:t xml:space="preserve">и видеофиксации, подключенных к </w:t>
      </w:r>
      <w:r w:rsidRPr="0085070B">
        <w:t>АПК «Безопасный город», от общего числа камер, запланированных к подключению на</w:t>
      </w:r>
      <w:r>
        <w:t xml:space="preserve"> </w:t>
      </w:r>
      <w:r w:rsidRPr="0085070B">
        <w:t>территории муниципального района».</w:t>
      </w:r>
    </w:p>
    <w:p w:rsidR="002D5745" w:rsidRDefault="002D5745" w:rsidP="002A0BFB">
      <w:pPr>
        <w:pStyle w:val="aff8"/>
      </w:pPr>
    </w:p>
    <w:p w:rsidR="002A0BFB" w:rsidRPr="0085070B" w:rsidRDefault="002A0BFB" w:rsidP="002A0BFB">
      <w:pPr>
        <w:pStyle w:val="aff8"/>
      </w:pPr>
      <w:r w:rsidRPr="0085070B">
        <w:t>3.2. Организация и осуществление мероприятий по ГО, защите населения и территории муниципального района от ЧС</w:t>
      </w:r>
    </w:p>
    <w:p w:rsidR="002A0BFB" w:rsidRPr="0085070B" w:rsidRDefault="002A0BFB" w:rsidP="002A0BFB">
      <w:pPr>
        <w:rPr>
          <w:sz w:val="16"/>
          <w:szCs w:val="16"/>
        </w:rPr>
      </w:pPr>
    </w:p>
    <w:p w:rsidR="002A0BFB" w:rsidRPr="0085070B" w:rsidRDefault="002A0BFB" w:rsidP="002A0BFB">
      <w:pPr>
        <w:pStyle w:val="aff4"/>
      </w:pPr>
      <w:r w:rsidRPr="0085070B">
        <w:t>Краткая характеристика основного мероприятия:</w:t>
      </w:r>
    </w:p>
    <w:p w:rsidR="002A0BFB" w:rsidRPr="0085070B" w:rsidRDefault="002A0BFB" w:rsidP="002A0BFB">
      <w:pPr>
        <w:pStyle w:val="aff4"/>
      </w:pPr>
      <w:r w:rsidRPr="0085070B">
        <w:t>- решает задачу «Совершенствование деятельности органов управления ГО, районного звена ТП РСЧС Калужской области»;</w:t>
      </w:r>
    </w:p>
    <w:p w:rsidR="002A0BFB" w:rsidRPr="0085070B" w:rsidRDefault="002A0BFB" w:rsidP="002A0BFB">
      <w:pPr>
        <w:pStyle w:val="aff4"/>
      </w:pPr>
      <w:r w:rsidRPr="0085070B">
        <w:t>- позволит реализовать на территории муниципального района требования Федерального закона «О гражданской обороне», предъявляемые к муниципальным образованиям;</w:t>
      </w:r>
    </w:p>
    <w:p w:rsidR="002A0BFB" w:rsidRPr="0085070B" w:rsidRDefault="002A0BFB" w:rsidP="002A0BFB">
      <w:pPr>
        <w:pStyle w:val="aff4"/>
      </w:pPr>
      <w:proofErr w:type="gramStart"/>
      <w:r w:rsidRPr="0085070B">
        <w:t>- способствует достижению индикаторов муниципальной программы «Уровень готовности муниципальной системы оповещения населения к использованию по предназначению», «Уровень готовности защитных сооружений ГО, находящихся в муниципальной собственности, к приему укрываемых», «Уровень обеспеченности НФГО, создаваемых на МП, имуществом ГО», «Доля сформированных запасов, создаваемых в целях ГО, от необходимого» и «Доля неработающего населения муниципального района, прошедшего подготовку в области ГО, защиты от ЧС, обеспечения пожарной</w:t>
      </w:r>
      <w:proofErr w:type="gramEnd"/>
      <w:r w:rsidRPr="0085070B">
        <w:t xml:space="preserve"> безопасности и безопасности людей на водных объектах посредством учебно-консультационных пунктов».</w:t>
      </w:r>
    </w:p>
    <w:p w:rsidR="007B533E" w:rsidRDefault="007B533E" w:rsidP="002A0BFB">
      <w:pPr>
        <w:pStyle w:val="aff8"/>
      </w:pPr>
    </w:p>
    <w:p w:rsidR="00260122" w:rsidRDefault="002A0BFB" w:rsidP="00774878">
      <w:pPr>
        <w:pStyle w:val="aff8"/>
      </w:pPr>
      <w:r w:rsidRPr="0085070B">
        <w:t>3.3. </w:t>
      </w:r>
      <w:r w:rsidR="00774878">
        <w:t>Обеспечение деятельности муниципального звена</w:t>
      </w:r>
    </w:p>
    <w:p w:rsidR="002A0BFB" w:rsidRDefault="00774878" w:rsidP="00774878">
      <w:pPr>
        <w:pStyle w:val="aff8"/>
      </w:pPr>
      <w:r>
        <w:t xml:space="preserve"> </w:t>
      </w:r>
      <w:r w:rsidRPr="006B6A12">
        <w:t>территориальной подсистемы единой государственной системы предупреждения и ликвидации чрезвычайных ситуаций Калужской области</w:t>
      </w:r>
    </w:p>
    <w:p w:rsidR="00774878" w:rsidRPr="0085070B" w:rsidRDefault="00774878" w:rsidP="00774878">
      <w:pPr>
        <w:pStyle w:val="aff8"/>
        <w:rPr>
          <w:sz w:val="16"/>
          <w:szCs w:val="16"/>
        </w:rPr>
      </w:pPr>
    </w:p>
    <w:p w:rsidR="000531FB" w:rsidRDefault="000531FB" w:rsidP="002A0BFB">
      <w:pPr>
        <w:pStyle w:val="aff4"/>
      </w:pPr>
    </w:p>
    <w:p w:rsidR="002A0BFB" w:rsidRPr="0085070B" w:rsidRDefault="002A0BFB" w:rsidP="002A0BFB">
      <w:pPr>
        <w:pStyle w:val="aff4"/>
      </w:pPr>
      <w:r w:rsidRPr="0085070B">
        <w:t>Краткая характеристика основного мероприятия:</w:t>
      </w:r>
    </w:p>
    <w:p w:rsidR="002A0BFB" w:rsidRPr="0085070B" w:rsidRDefault="002A0BFB" w:rsidP="002A0BFB">
      <w:pPr>
        <w:pStyle w:val="aff4"/>
      </w:pPr>
      <w:r w:rsidRPr="0085070B">
        <w:lastRenderedPageBreak/>
        <w:t>- решает задачу «Обеспечение и поддержание высокой готовности сил и средств ГО, районного звена ТП РСЧС Калужской области»;</w:t>
      </w:r>
    </w:p>
    <w:p w:rsidR="002A0BFB" w:rsidRPr="0085070B" w:rsidRDefault="002A0BFB" w:rsidP="002A0BFB">
      <w:pPr>
        <w:pStyle w:val="aff4"/>
      </w:pPr>
      <w:r w:rsidRPr="0085070B">
        <w:t>- позволит реализовать на территории муниципального района требования Федеральных законов «О защите населения и территорий от чрезвычайных ситуаций природного и техногенного характера» и «О гражданской обороне» в части осуществления подготовки и содержания в готовности необходимых сил и средств ГО и защиты населения и территорий от ЧС, предъявляемые к муниципальным образованиям;</w:t>
      </w:r>
    </w:p>
    <w:p w:rsidR="002A0BFB" w:rsidRPr="0085070B" w:rsidRDefault="002A0BFB" w:rsidP="002A0BFB">
      <w:pPr>
        <w:pStyle w:val="aff4"/>
      </w:pPr>
    </w:p>
    <w:p w:rsidR="002A0BFB" w:rsidRPr="0085070B" w:rsidRDefault="002A0BFB" w:rsidP="002A0BFB">
      <w:pPr>
        <w:pStyle w:val="aff8"/>
      </w:pPr>
      <w:r w:rsidRPr="0085070B">
        <w:t>3.4. Осуществление мероприятий по обеспечению безопасности людей</w:t>
      </w:r>
      <w:r w:rsidRPr="0085070B">
        <w:br/>
        <w:t>на водных объектах, охране их жизни и здоровья</w:t>
      </w:r>
    </w:p>
    <w:p w:rsidR="002A0BFB" w:rsidRPr="0085070B" w:rsidRDefault="002A0BFB" w:rsidP="002A0BFB">
      <w:pPr>
        <w:rPr>
          <w:sz w:val="16"/>
          <w:szCs w:val="16"/>
        </w:rPr>
      </w:pPr>
    </w:p>
    <w:p w:rsidR="002A0BFB" w:rsidRPr="0085070B" w:rsidRDefault="002A0BFB" w:rsidP="002A0BFB">
      <w:pPr>
        <w:pStyle w:val="aff4"/>
      </w:pPr>
      <w:r w:rsidRPr="0085070B">
        <w:t>Краткая характеристика основного мероприятия:</w:t>
      </w:r>
    </w:p>
    <w:p w:rsidR="002A0BFB" w:rsidRPr="0085070B" w:rsidRDefault="002A0BFB" w:rsidP="002A0BFB">
      <w:pPr>
        <w:pStyle w:val="aff4"/>
      </w:pPr>
      <w:r w:rsidRPr="0085070B">
        <w:t>- способствует решению задачи «Повышение эффективности мер по обеспечению безопасности людей на водных объектах»;</w:t>
      </w:r>
    </w:p>
    <w:p w:rsidR="002A0BFB" w:rsidRPr="0085070B" w:rsidRDefault="002A0BFB" w:rsidP="002A0BFB">
      <w:pPr>
        <w:pStyle w:val="aff4"/>
      </w:pPr>
      <w:proofErr w:type="gramStart"/>
      <w:r w:rsidRPr="0085070B">
        <w:t>- позволит реализовать на территории муниципального района требования Водного кодекса Российской Федерации, предъявляемые к муниципальным образованиям – собственникам водных объектов и территорий, прилегающих к водным объектам, на которых организованы места массового отдыха людей, а также Правила охраны жизни людей на водных объектах на территории Калужской области, утвержденные постановлением Правительства Калужской области от 21.12.2005 № 360;</w:t>
      </w:r>
      <w:proofErr w:type="gramEnd"/>
    </w:p>
    <w:p w:rsidR="002A0BFB" w:rsidRPr="0085070B" w:rsidRDefault="002A0BFB" w:rsidP="002A0BFB">
      <w:pPr>
        <w:pStyle w:val="aff4"/>
      </w:pPr>
      <w:r w:rsidRPr="0085070B">
        <w:t>- способствует достижению индикатора муниципальной программы «Доля традиционных мест массового отдыха населения на водных объектах на территории муниципального района, оборудованных спасательными постами».</w:t>
      </w:r>
    </w:p>
    <w:p w:rsidR="00E772BF" w:rsidRDefault="00E772BF" w:rsidP="002A0BFB">
      <w:pPr>
        <w:pStyle w:val="aff8"/>
      </w:pPr>
    </w:p>
    <w:p w:rsidR="002A0BFB" w:rsidRPr="0085070B" w:rsidRDefault="002A0BFB" w:rsidP="002A0BFB">
      <w:pPr>
        <w:pStyle w:val="aff8"/>
      </w:pPr>
      <w:r w:rsidRPr="0085070B">
        <w:t>3.5. Обеспечение первичных мер пожарной безопасности</w:t>
      </w:r>
      <w:r w:rsidRPr="0085070B">
        <w:br/>
        <w:t>в границах муниципального района за границами городских</w:t>
      </w:r>
      <w:r w:rsidRPr="0085070B">
        <w:br/>
        <w:t>и сельских населенных пунктов</w:t>
      </w:r>
    </w:p>
    <w:p w:rsidR="007D7319" w:rsidRDefault="007D7319" w:rsidP="002A0BFB">
      <w:pPr>
        <w:pStyle w:val="aff4"/>
      </w:pPr>
    </w:p>
    <w:p w:rsidR="002A0BFB" w:rsidRPr="0085070B" w:rsidRDefault="002A0BFB" w:rsidP="002A0BFB">
      <w:pPr>
        <w:pStyle w:val="aff4"/>
      </w:pPr>
      <w:r w:rsidRPr="0085070B">
        <w:t>Краткая характеристика основного мероприятия:</w:t>
      </w:r>
    </w:p>
    <w:p w:rsidR="002A0BFB" w:rsidRPr="0085070B" w:rsidRDefault="002A0BFB" w:rsidP="002A0BFB">
      <w:pPr>
        <w:pStyle w:val="aff4"/>
      </w:pPr>
      <w:r w:rsidRPr="0085070B">
        <w:t>- решает задачу «Обеспечение повышения уровня защищенности населения и территории муниципального района от пожаров»;</w:t>
      </w:r>
    </w:p>
    <w:p w:rsidR="002A0BFB" w:rsidRPr="0085070B" w:rsidRDefault="002A0BFB" w:rsidP="002A0BFB">
      <w:pPr>
        <w:pStyle w:val="aff4"/>
      </w:pPr>
      <w:r w:rsidRPr="0085070B">
        <w:t>- позволит реализовать на территории муниципального района требования Федерального закона «О пожарной безопасности», предъявляемые к муниципальным образованиям в части, касающейся муниципальных районов;</w:t>
      </w:r>
    </w:p>
    <w:p w:rsidR="002A0BFB" w:rsidRDefault="002A0BFB" w:rsidP="002A0BFB">
      <w:pPr>
        <w:pStyle w:val="aff4"/>
      </w:pPr>
      <w:proofErr w:type="gramStart"/>
      <w:r w:rsidRPr="0085070B">
        <w:t>- способствует достижению индикаторов муниципальной программы «Сокращение числа погибших вследствие пожаров на территории муниципального района (к уровню 202</w:t>
      </w:r>
      <w:r w:rsidR="00C4040F">
        <w:t>2</w:t>
      </w:r>
      <w:r w:rsidRPr="0085070B">
        <w:t xml:space="preserve"> года)», «Доля реализованных мероприятий по обеспечению первичных мер пожарной безопасности в границах муниципального района за границами городских и сельских населенных пунктов, от запланированных на отчетный год» и «Доля пожаров на территории муниципального района, потушенных с привлечением подразделений добровольной пожарной охраны».</w:t>
      </w:r>
      <w:proofErr w:type="gramEnd"/>
    </w:p>
    <w:p w:rsidR="004A0575" w:rsidRDefault="004A0575" w:rsidP="002A0BFB">
      <w:pPr>
        <w:pStyle w:val="aff4"/>
      </w:pPr>
    </w:p>
    <w:p w:rsidR="007D7319" w:rsidRPr="007D7319" w:rsidRDefault="007D7319" w:rsidP="007D731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7319">
        <w:rPr>
          <w:rFonts w:ascii="Times New Roman" w:hAnsi="Times New Roman" w:cs="Times New Roman"/>
          <w:b/>
          <w:sz w:val="26"/>
          <w:szCs w:val="26"/>
        </w:rPr>
        <w:t>4. Характеристика мер муниципального регулирования</w:t>
      </w:r>
    </w:p>
    <w:p w:rsidR="007D7319" w:rsidRPr="007D7319" w:rsidRDefault="007D7319" w:rsidP="007D731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37F27" w:rsidRPr="00037F27" w:rsidRDefault="00037F27" w:rsidP="00037F27">
      <w:pPr>
        <w:pStyle w:val="a3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7F27">
        <w:rPr>
          <w:rFonts w:ascii="Times New Roman" w:eastAsia="Calibri" w:hAnsi="Times New Roman" w:cs="Times New Roman"/>
          <w:sz w:val="26"/>
          <w:szCs w:val="26"/>
        </w:rPr>
        <w:t>В муниципальном районе «Спас-Деменский район» действует зна</w:t>
      </w:r>
      <w:r w:rsidR="007813EB">
        <w:rPr>
          <w:rFonts w:ascii="Times New Roman" w:hAnsi="Times New Roman" w:cs="Times New Roman"/>
          <w:sz w:val="26"/>
          <w:szCs w:val="26"/>
        </w:rPr>
        <w:t>чительное число законодательных</w:t>
      </w:r>
      <w:r w:rsidRPr="00037F27">
        <w:rPr>
          <w:rFonts w:ascii="Times New Roman" w:eastAsia="Calibri" w:hAnsi="Times New Roman" w:cs="Times New Roman"/>
          <w:sz w:val="26"/>
          <w:szCs w:val="26"/>
        </w:rPr>
        <w:t xml:space="preserve"> и иных нормативных правовых актов (далее – НПА), регулирующих вопросы обеспечения безопасности жизнедеятельности населения. </w:t>
      </w:r>
    </w:p>
    <w:p w:rsidR="001D5DC4" w:rsidRDefault="00037F27" w:rsidP="001D5DC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F27">
        <w:rPr>
          <w:rFonts w:ascii="Times New Roman" w:eastAsia="Calibri" w:hAnsi="Times New Roman" w:cs="Times New Roman"/>
          <w:sz w:val="26"/>
          <w:szCs w:val="26"/>
        </w:rPr>
        <w:t xml:space="preserve">Ведется работа с органами местного самоуправления сельских поселений по оказанию методической помощи в разработке и актуализации муниципальной нормативной правовой базы по вопросам гражданской обороны, защиты населения и </w:t>
      </w:r>
      <w:r w:rsidRPr="00037F27">
        <w:rPr>
          <w:rFonts w:ascii="Times New Roman" w:eastAsia="Calibri" w:hAnsi="Times New Roman" w:cs="Times New Roman"/>
          <w:sz w:val="26"/>
          <w:szCs w:val="26"/>
        </w:rPr>
        <w:lastRenderedPageBreak/>
        <w:t>территорий  от ЧС, обеспечения пожарной безопасности и безопасности людей на водных объектах.</w:t>
      </w:r>
    </w:p>
    <w:p w:rsidR="00E24595" w:rsidRPr="00E24595" w:rsidRDefault="00E24595" w:rsidP="001D5DC4">
      <w:pPr>
        <w:pStyle w:val="aff8"/>
        <w:rPr>
          <w:rFonts w:eastAsiaTheme="minorEastAsia"/>
        </w:rPr>
      </w:pPr>
      <w:r w:rsidRPr="00E24595">
        <w:rPr>
          <w:rFonts w:eastAsiaTheme="minorEastAsia"/>
        </w:rPr>
        <w:t>5. Объем финансовых ресурсов, необходимых для реализации</w:t>
      </w:r>
    </w:p>
    <w:p w:rsidR="00E24595" w:rsidRPr="00E24595" w:rsidRDefault="00E24595" w:rsidP="001D5DC4">
      <w:pPr>
        <w:pStyle w:val="aff8"/>
        <w:rPr>
          <w:rFonts w:eastAsiaTheme="minorEastAsia"/>
        </w:rPr>
      </w:pPr>
      <w:r w:rsidRPr="00E24595">
        <w:rPr>
          <w:rFonts w:eastAsiaTheme="minorEastAsia"/>
        </w:rPr>
        <w:t>муниципальной программы</w:t>
      </w:r>
    </w:p>
    <w:p w:rsidR="00E24595" w:rsidRPr="00E24595" w:rsidRDefault="00E24595" w:rsidP="00E2459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E24595" w:rsidRDefault="00E24595" w:rsidP="00E24595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50C84">
        <w:rPr>
          <w:rFonts w:ascii="Times New Roman" w:hAnsi="Times New Roman" w:cs="Times New Roman"/>
          <w:sz w:val="24"/>
          <w:szCs w:val="24"/>
        </w:rPr>
        <w:t>(тыс. руб. в ценах каждого года)</w:t>
      </w:r>
    </w:p>
    <w:p w:rsidR="00E24595" w:rsidRPr="00E24595" w:rsidRDefault="00E24595" w:rsidP="00E24595">
      <w:pPr>
        <w:pStyle w:val="a3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12"/>
        <w:gridCol w:w="1276"/>
        <w:gridCol w:w="850"/>
        <w:gridCol w:w="1134"/>
        <w:gridCol w:w="993"/>
        <w:gridCol w:w="992"/>
        <w:gridCol w:w="1134"/>
      </w:tblGrid>
      <w:tr w:rsidR="008F1633" w:rsidRPr="006B6A12" w:rsidTr="00BA7A4E">
        <w:trPr>
          <w:cantSplit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5F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5F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(тыс. 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633" w:rsidRPr="006B6A12" w:rsidRDefault="008F1633" w:rsidP="005F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по годам и источникам финансирования:</w:t>
            </w:r>
          </w:p>
        </w:tc>
      </w:tr>
      <w:tr w:rsidR="008F1633" w:rsidRPr="006B6A12" w:rsidTr="00BA7A4E">
        <w:trPr>
          <w:cantSplit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8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8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4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4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4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4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633" w:rsidRPr="006B6A12" w:rsidRDefault="008F1633" w:rsidP="00C4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8F1633" w:rsidRPr="006B6A12" w:rsidTr="00BA7A4E">
        <w:trPr>
          <w:cantSplit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5F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5F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5F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8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8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8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633" w:rsidRPr="006B6A12" w:rsidRDefault="008F1633" w:rsidP="00C8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6224,7</w:t>
            </w:r>
          </w:p>
        </w:tc>
      </w:tr>
      <w:tr w:rsidR="008F1633" w:rsidRPr="006B6A12" w:rsidTr="00BA7A4E">
        <w:trPr>
          <w:cantSplit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633" w:rsidRPr="006B6A12" w:rsidRDefault="008F1633" w:rsidP="005F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</w:tr>
      <w:tr w:rsidR="008F1633" w:rsidRPr="006B6A12" w:rsidTr="00BA7A4E">
        <w:trPr>
          <w:cantSplit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5F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муниципального</w:t>
            </w:r>
            <w:r w:rsidRPr="006B6A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5F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5F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8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8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6B6A12" w:rsidRDefault="008F1633" w:rsidP="00C8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633" w:rsidRPr="006B6A12" w:rsidRDefault="008F1633" w:rsidP="00C8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6224,7</w:t>
            </w:r>
          </w:p>
        </w:tc>
      </w:tr>
    </w:tbl>
    <w:p w:rsidR="007D7319" w:rsidRPr="007D7319" w:rsidRDefault="007D7319" w:rsidP="007D731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268B6" w:rsidRDefault="001268B6" w:rsidP="001268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8B6">
        <w:rPr>
          <w:rFonts w:ascii="Times New Roman" w:hAnsi="Times New Roman" w:cs="Times New Roman"/>
          <w:sz w:val="26"/>
          <w:szCs w:val="26"/>
        </w:rPr>
        <w:t>Объемы средств местного бюджета, направляемых на реализацию программы, ежегодно уточняются после внесения изменений в решение Районного Собрания МР "Спас-Деменский район" о местном бюджете на очередной финансовый год и на плановый период.</w:t>
      </w:r>
    </w:p>
    <w:p w:rsidR="00041F55" w:rsidRPr="00041F55" w:rsidRDefault="00041F55" w:rsidP="00041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1F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Механизм реализации муниципальной программы</w:t>
      </w:r>
    </w:p>
    <w:p w:rsidR="00041F55" w:rsidRPr="00041F55" w:rsidRDefault="00041F55" w:rsidP="00041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1F55" w:rsidRPr="00041F55" w:rsidRDefault="00041F55" w:rsidP="00041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F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мероприятий программы осуществляется администрацией МР «Спас-Деменский район» путем заключения и выполнения государственных контрактов на закупки товаров, работ и услуг для обеспечения муниципальных нужд за счет средств районного бюджета.</w:t>
      </w:r>
    </w:p>
    <w:p w:rsidR="00041F55" w:rsidRPr="00041F55" w:rsidRDefault="00041F55" w:rsidP="00041F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F5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за ходом реализации программы осуществляет заместитель председателя комиссии по чрезвычайным ситуациям и обеспечению пожарной безопасности муниципального района «Спас-Деменский район». Руководство за ходом реализации мероприятий программы и ответственность за их реализацию несет начальник отдела по делам ГОЧС, мобилизационной подготовке и ведения секретного делопроизводства администрации муниципального района «Спас-Деменский район».</w:t>
      </w:r>
    </w:p>
    <w:p w:rsidR="00041F55" w:rsidRDefault="00041F55" w:rsidP="001268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3786" w:rsidRDefault="005D3786" w:rsidP="005D3786">
      <w:pPr>
        <w:pStyle w:val="aff8"/>
        <w:ind w:left="142"/>
      </w:pPr>
    </w:p>
    <w:p w:rsidR="005D3786" w:rsidRDefault="005D3786" w:rsidP="005D3786">
      <w:pPr>
        <w:pStyle w:val="aff8"/>
        <w:ind w:left="142"/>
        <w:sectPr w:rsidR="005D3786" w:rsidSect="00A2391C">
          <w:headerReference w:type="default" r:id="rId19"/>
          <w:pgSz w:w="11906" w:h="16838"/>
          <w:pgMar w:top="568" w:right="567" w:bottom="142" w:left="1134" w:header="709" w:footer="709" w:gutter="0"/>
          <w:cols w:space="708"/>
          <w:titlePg/>
          <w:docGrid w:linePitch="360"/>
        </w:sectPr>
      </w:pPr>
    </w:p>
    <w:p w:rsidR="005D3786" w:rsidRPr="007B533E" w:rsidRDefault="00B05B1B" w:rsidP="005D3786">
      <w:pPr>
        <w:pStyle w:val="aff8"/>
        <w:ind w:left="142"/>
      </w:pPr>
      <w:r>
        <w:lastRenderedPageBreak/>
        <w:t>7</w:t>
      </w:r>
      <w:r w:rsidR="005D3786" w:rsidRPr="007B533E">
        <w:t>. Перечень мероприятий муниципальной программы</w:t>
      </w:r>
      <w:r w:rsidR="005D3786" w:rsidRPr="007B533E">
        <w:br/>
      </w:r>
    </w:p>
    <w:tbl>
      <w:tblPr>
        <w:tblW w:w="1559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81"/>
        <w:gridCol w:w="2800"/>
        <w:gridCol w:w="1276"/>
        <w:gridCol w:w="2409"/>
        <w:gridCol w:w="1984"/>
        <w:gridCol w:w="1277"/>
        <w:gridCol w:w="993"/>
        <w:gridCol w:w="1134"/>
        <w:gridCol w:w="1134"/>
        <w:gridCol w:w="1071"/>
        <w:gridCol w:w="1134"/>
      </w:tblGrid>
      <w:tr w:rsidR="005D3786" w:rsidRPr="007B533E" w:rsidTr="00C86C88">
        <w:trPr>
          <w:cantSplit/>
          <w:tblHeader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00" w:type="dxa"/>
            <w:vMerge w:val="restart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Ответственные за реализацию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Всего (тыс. руб.)</w:t>
            </w:r>
          </w:p>
        </w:tc>
        <w:tc>
          <w:tcPr>
            <w:tcW w:w="5466" w:type="dxa"/>
            <w:gridSpan w:val="5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в том числе по годам и источникам финансирования:</w:t>
            </w:r>
          </w:p>
        </w:tc>
      </w:tr>
      <w:tr w:rsidR="005D3786" w:rsidRPr="007B533E" w:rsidTr="00C86C88">
        <w:trPr>
          <w:cantSplit/>
          <w:tblHeader/>
        </w:trPr>
        <w:tc>
          <w:tcPr>
            <w:tcW w:w="381" w:type="dxa"/>
            <w:vMerge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B82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820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B82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820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B82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820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B82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820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B820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820D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D3786" w:rsidRPr="007B533E" w:rsidTr="00C86C88">
        <w:trPr>
          <w:cantSplit/>
          <w:trHeight w:val="707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00" w:type="dxa"/>
            <w:vMerge w:val="restart"/>
            <w:shd w:val="clear" w:color="auto" w:fill="auto"/>
            <w:vAlign w:val="center"/>
          </w:tcPr>
          <w:p w:rsidR="005D3786" w:rsidRPr="00844D88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в предупреждении и ликвидации последствий ЧС на территории муниципального района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3786" w:rsidRPr="00844D88" w:rsidRDefault="005D3786" w:rsidP="00C404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C4040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C4040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муниципального района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МКУ «ЕДДС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Спас-Деменского района</w:t>
            </w: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065868" w:rsidRDefault="00D1561B" w:rsidP="004208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r w:rsidR="004208A7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065868" w:rsidRDefault="00933FA7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5504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933F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  <w:r w:rsidR="00933FA7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933F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  <w:r w:rsidR="00933FA7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9,7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065868" w:rsidRDefault="005D3786" w:rsidP="00933F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  <w:r w:rsidR="00933FA7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933FA7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5549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,7</w:t>
            </w:r>
          </w:p>
        </w:tc>
      </w:tr>
      <w:tr w:rsidR="005D3786" w:rsidRPr="007B533E" w:rsidTr="00C86C88">
        <w:trPr>
          <w:cantSplit/>
          <w:trHeight w:val="1888"/>
        </w:trPr>
        <w:tc>
          <w:tcPr>
            <w:tcW w:w="381" w:type="dxa"/>
            <w:vMerge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:rsidR="005D3786" w:rsidRPr="00844D88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065868" w:rsidRDefault="005D3786" w:rsidP="004208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r w:rsidR="004208A7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065868" w:rsidRDefault="005D3786" w:rsidP="00933F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933FA7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504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933F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  <w:r w:rsidR="00933FA7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933F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  <w:r w:rsidR="00933FA7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9,7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065868" w:rsidRDefault="005D3786" w:rsidP="00933F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  <w:r w:rsidR="00933FA7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933F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  <w:r w:rsidR="00933FA7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9,7</w:t>
            </w:r>
          </w:p>
        </w:tc>
      </w:tr>
      <w:tr w:rsidR="005D3786" w:rsidRPr="007B533E" w:rsidTr="00C86C88">
        <w:trPr>
          <w:cantSplit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постоянно действующего органа управления в сфере ГО, в области защиты населения и территории муниципального района от ЧС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C4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5440,5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EA6361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1058</w:t>
            </w:r>
            <w:r w:rsidR="005D3786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1058,1</w:t>
            </w:r>
          </w:p>
        </w:tc>
      </w:tr>
      <w:tr w:rsidR="005D3786" w:rsidRPr="007B533E" w:rsidTr="00C86C88">
        <w:trPr>
          <w:cantSplit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Содержание и развитие МКУ «ЕДДС»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C4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br/>
              <w:t>МКУ «ЕДДС»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19033,0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3806,6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3806,6</w:t>
            </w:r>
          </w:p>
        </w:tc>
      </w:tr>
      <w:tr w:rsidR="005D3786" w:rsidRPr="007B533E" w:rsidTr="00C86C88">
        <w:trPr>
          <w:cantSplit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Организация информирования населения о ЧС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C4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br/>
              <w:t>(отдел по делам ГОЧС)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5D3786" w:rsidRPr="007B533E" w:rsidTr="00C86C88">
        <w:trPr>
          <w:cantSplit/>
          <w:trHeight w:val="725"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Организация ПВР населения, пострадавшего в ЧС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C4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br/>
              <w:t>(отдел по делам ГОЧС)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5D3786" w:rsidRPr="007B533E" w:rsidTr="00C86C88">
        <w:trPr>
          <w:cantSplit/>
          <w:trHeight w:val="1576"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Создание и своевременное восполнение резерва материальных ресурсов для ликвидации ЧС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C4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br/>
              <w:t>(отдел по делам ГОЧС)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D3786" w:rsidRPr="007B533E" w:rsidTr="00C86C88">
        <w:trPr>
          <w:cantSplit/>
          <w:trHeight w:val="1312"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Организация эксплуатации системы-112 на базе МКУ «ЕДДС»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C4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МКУ «ЕДДС»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</w:tr>
      <w:tr w:rsidR="005D3786" w:rsidRPr="007B533E" w:rsidTr="00C86C88">
        <w:trPr>
          <w:cantSplit/>
          <w:trHeight w:val="1645"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1.7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Содержание и развитие сегмента аппаратно-программного комплекса «Безопасный город» на территории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C4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br/>
              <w:t>(отдел по делам ГОЧС)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CA4CA0" w:rsidRPr="007B533E" w:rsidTr="00C86C88">
        <w:trPr>
          <w:cantSplit/>
          <w:trHeight w:val="1645"/>
        </w:trPr>
        <w:tc>
          <w:tcPr>
            <w:tcW w:w="381" w:type="dxa"/>
            <w:shd w:val="clear" w:color="auto" w:fill="auto"/>
            <w:vAlign w:val="center"/>
          </w:tcPr>
          <w:p w:rsidR="00CA4CA0" w:rsidRPr="007B533E" w:rsidRDefault="00971134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1.8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CA4CA0" w:rsidRPr="002B3AA4" w:rsidRDefault="002B3AA4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3AA4">
              <w:rPr>
                <w:rFonts w:ascii="Times New Roman" w:hAnsi="Times New Roman" w:cs="Times New Roman"/>
                <w:sz w:val="26"/>
                <w:szCs w:val="2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рамках реализации аппаратно-программного комплекса "Безопасный город" на территории Спас-Деменского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4CA0" w:rsidRPr="007B533E" w:rsidRDefault="002B3AA4" w:rsidP="00C4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C4040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4CA0" w:rsidRPr="007B533E" w:rsidRDefault="00CA4CA0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651A0" w:rsidRPr="005651A0" w:rsidRDefault="005651A0" w:rsidP="005651A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1A0">
              <w:rPr>
                <w:rFonts w:ascii="Times New Roman" w:hAnsi="Times New Roman" w:cs="Times New Roman"/>
                <w:sz w:val="26"/>
                <w:szCs w:val="26"/>
              </w:rPr>
              <w:t>местный</w:t>
            </w:r>
          </w:p>
          <w:p w:rsidR="00CA4CA0" w:rsidRPr="007B533E" w:rsidRDefault="005651A0" w:rsidP="005651A0">
            <w:pPr>
              <w:pStyle w:val="a3"/>
              <w:jc w:val="center"/>
            </w:pPr>
            <w:r w:rsidRPr="005651A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4CA0" w:rsidRDefault="0073132E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4CA0" w:rsidRDefault="0073132E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CA0" w:rsidRDefault="0073132E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CA0" w:rsidRDefault="0073132E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A4CA0" w:rsidRDefault="0073132E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4CA0" w:rsidRDefault="0073132E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</w:tr>
      <w:tr w:rsidR="005D3786" w:rsidRPr="007B533E" w:rsidTr="00C86C88">
        <w:trPr>
          <w:cantSplit/>
          <w:trHeight w:val="1997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2800" w:type="dxa"/>
            <w:vMerge w:val="restart"/>
            <w:shd w:val="clear" w:color="auto" w:fill="auto"/>
            <w:vAlign w:val="center"/>
          </w:tcPr>
          <w:p w:rsidR="005D3786" w:rsidRPr="00844D88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и осуществление мероприятий по ГО, защите населения и территории муниципального района от ЧС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3786" w:rsidRPr="00844D88" w:rsidRDefault="005D3786" w:rsidP="00C404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C4040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C4040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муниципального района,</w:t>
            </w: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МП, создающие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звено ТП РСЧС района, </w:t>
            </w: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1375,0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275,0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275,0</w:t>
            </w:r>
          </w:p>
        </w:tc>
      </w:tr>
      <w:tr w:rsidR="005D3786" w:rsidRPr="007B533E" w:rsidTr="00C86C88">
        <w:trPr>
          <w:cantSplit/>
          <w:trHeight w:val="1100"/>
        </w:trPr>
        <w:tc>
          <w:tcPr>
            <w:tcW w:w="381" w:type="dxa"/>
            <w:vMerge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:rsidR="005D3786" w:rsidRPr="00844D88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844D8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4D88">
              <w:rPr>
                <w:rFonts w:ascii="Times New Roman" w:hAnsi="Times New Roman" w:cs="Times New Roman"/>
                <w:b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1375,0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275,0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275,0</w:t>
            </w:r>
          </w:p>
        </w:tc>
      </w:tr>
      <w:tr w:rsidR="005D3786" w:rsidRPr="007B533E" w:rsidTr="00C86C88">
        <w:trPr>
          <w:cantSplit/>
          <w:trHeight w:val="1962"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Развитие, содержание и организация функционирования муниципальной системы оповещения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484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48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48486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(отдел по делам ГОЧС)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5D3786" w:rsidRPr="007B533E" w:rsidTr="00C86C88">
        <w:trPr>
          <w:cantSplit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Создание и поддержание в состоянии постоянной готовности сил и средств 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484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48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48486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br/>
              <w:t>(отдел по делам ГОЧС),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МП, создающие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НФГО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D3786" w:rsidRPr="007B533E" w:rsidTr="00C86C88">
        <w:trPr>
          <w:cantSplit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Создание и содержание в целях ГО запасов продовольствия, медицинских средств индивидуальной защиты и иных средств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484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48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48486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br/>
              <w:t>(отдел по делам ГОЧС)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D3786" w:rsidRPr="007B533E" w:rsidTr="00C86C88">
        <w:trPr>
          <w:cantSplit/>
          <w:trHeight w:val="2268"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Организация подготовки населения муниципального района в области ГОЧС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484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48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48486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br/>
              <w:t>(отдел по делам ГОЧС)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5D3786" w:rsidRPr="007B533E" w:rsidTr="00C86C88">
        <w:trPr>
          <w:cantSplit/>
          <w:trHeight w:val="1178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00" w:type="dxa"/>
            <w:vMerge w:val="restart"/>
            <w:shd w:val="clear" w:color="auto" w:fill="auto"/>
            <w:vAlign w:val="center"/>
          </w:tcPr>
          <w:p w:rsidR="005D3786" w:rsidRPr="007864A2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4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Создание, содержание и организация </w:t>
            </w:r>
            <w:proofErr w:type="gramStart"/>
            <w:r w:rsidRPr="007864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деятельности </w:t>
            </w:r>
            <w:r w:rsidRPr="007864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районного звена территориальной подсистемы единой государственной системы предупреждения</w:t>
            </w:r>
            <w:proofErr w:type="gramEnd"/>
            <w:r w:rsidRPr="007864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 ликвидации чрезвычайных ситуаций Калужской области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3786" w:rsidRPr="003F2E7B" w:rsidRDefault="005D3786" w:rsidP="00484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</w:t>
            </w:r>
            <w:r w:rsidR="0048486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48486D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65868" w:rsidRPr="00065868" w:rsidRDefault="005D3786" w:rsidP="0006586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муниципального района,</w:t>
            </w: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065868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Администрация МР (отдел ГОЧС), МП, создающие силы, привлекаемые к участию в предупреждении и ликвидации ЧС</w:t>
            </w:r>
          </w:p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Всего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</w:tr>
      <w:tr w:rsidR="005D3786" w:rsidRPr="007B533E" w:rsidTr="00C86C88">
        <w:trPr>
          <w:cantSplit/>
          <w:trHeight w:val="3478"/>
        </w:trPr>
        <w:tc>
          <w:tcPr>
            <w:tcW w:w="381" w:type="dxa"/>
            <w:vMerge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:rsidR="005D3786" w:rsidRPr="007864A2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</w:tr>
      <w:tr w:rsidR="005D3786" w:rsidRPr="007B533E" w:rsidTr="00C86C88">
        <w:trPr>
          <w:cantSplit/>
          <w:trHeight w:val="2778"/>
        </w:trPr>
        <w:tc>
          <w:tcPr>
            <w:tcW w:w="38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5D3786" w:rsidRPr="007B533E" w:rsidRDefault="005D3786" w:rsidP="00EA5D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функционирования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сил и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дств зв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ена силы муниципального звена ТПРСЧС калужской области, </w:t>
            </w:r>
            <w:r w:rsidR="00EA5DDF">
              <w:rPr>
                <w:rFonts w:ascii="Times New Roman" w:hAnsi="Times New Roman" w:cs="Times New Roman"/>
                <w:sz w:val="26"/>
                <w:szCs w:val="26"/>
              </w:rPr>
              <w:t>создаваемых на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 xml:space="preserve"> базе МП</w:t>
            </w:r>
            <w:r w:rsidR="00EA5DDF">
              <w:rPr>
                <w:rFonts w:ascii="Times New Roman" w:hAnsi="Times New Roman" w:cs="Times New Roman"/>
                <w:sz w:val="26"/>
                <w:szCs w:val="26"/>
              </w:rPr>
              <w:t xml:space="preserve"> и привлекаемых к участию в предупреждении и ликвидации ЧС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786" w:rsidRPr="007B533E" w:rsidRDefault="005D3786" w:rsidP="00484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48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48486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65868" w:rsidRPr="00065868" w:rsidRDefault="00065868" w:rsidP="000658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sz w:val="26"/>
                <w:szCs w:val="26"/>
              </w:rPr>
              <w:t>Администрация МР (отдел ГОЧС), МП, создающие силы, привлекаемые к участию в предупреждении и ликвидации ЧС</w:t>
            </w:r>
          </w:p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3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7B533E" w:rsidRDefault="005D3786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D3786" w:rsidRPr="007B533E" w:rsidTr="00C86C88">
        <w:trPr>
          <w:cantSplit/>
          <w:trHeight w:val="1810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2800" w:type="dxa"/>
            <w:vMerge w:val="restart"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Осуществление мероприятий по обеспечению безопасности людей на водных объектах, охране их жизни и здоровья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3786" w:rsidRPr="003F2E7B" w:rsidRDefault="005D3786" w:rsidP="00484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48486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48486D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D3786" w:rsidRPr="003F2E7B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муниципального района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(отдел по делам ГОЧС),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балансодержатели территорий, на которых организованы пляжи и места отдыха населения у воды (по согласованию)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</w:tr>
      <w:tr w:rsidR="005D3786" w:rsidRPr="007B533E" w:rsidTr="00C86C88">
        <w:trPr>
          <w:cantSplit/>
          <w:trHeight w:val="2688"/>
        </w:trPr>
        <w:tc>
          <w:tcPr>
            <w:tcW w:w="381" w:type="dxa"/>
            <w:vMerge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:rsidR="005D3786" w:rsidRPr="003F2E7B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3F2E7B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2E7B">
              <w:rPr>
                <w:rFonts w:ascii="Times New Roman" w:hAnsi="Times New Roman" w:cs="Times New Roman"/>
                <w:b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</w:tr>
      <w:tr w:rsidR="005D3786" w:rsidRPr="007B533E" w:rsidTr="00C86C88">
        <w:trPr>
          <w:cantSplit/>
          <w:trHeight w:val="1761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5D3786" w:rsidRPr="00F11E63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E6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00" w:type="dxa"/>
            <w:vMerge w:val="restart"/>
            <w:shd w:val="clear" w:color="auto" w:fill="auto"/>
            <w:vAlign w:val="center"/>
          </w:tcPr>
          <w:p w:rsidR="005D3786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первичных мер пожарной безопасности в границах </w:t>
            </w:r>
            <w:r w:rsidRPr="00F11E6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муниципального района за границами городских и сельских населенных пунктов</w:t>
            </w:r>
          </w:p>
          <w:p w:rsidR="005D3786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D3786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D3786" w:rsidRPr="00F11E63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3786" w:rsidRPr="00F11E63" w:rsidRDefault="005D3786" w:rsidP="004848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E6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202</w:t>
            </w:r>
            <w:r w:rsidR="0048486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F11E63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48486D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D3786" w:rsidRPr="00F11E63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E63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муниципального района (отдел по делам ГОЧС),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поселения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согласованию)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F11E63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Всего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065868" w:rsidRDefault="005D3786" w:rsidP="001B21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1B21D9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065868" w:rsidRDefault="001B21D9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1B21D9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1B21D9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065868" w:rsidRDefault="001B21D9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1B21D9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</w:tr>
      <w:tr w:rsidR="005D3786" w:rsidRPr="007B533E" w:rsidTr="00C86C88">
        <w:trPr>
          <w:cantSplit/>
          <w:trHeight w:val="2282"/>
        </w:trPr>
        <w:tc>
          <w:tcPr>
            <w:tcW w:w="381" w:type="dxa"/>
            <w:vMerge/>
            <w:shd w:val="clear" w:color="auto" w:fill="auto"/>
            <w:vAlign w:val="center"/>
          </w:tcPr>
          <w:p w:rsidR="005D3786" w:rsidRPr="00F11E63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00" w:type="dxa"/>
            <w:vMerge/>
            <w:shd w:val="clear" w:color="auto" w:fill="auto"/>
            <w:vAlign w:val="center"/>
          </w:tcPr>
          <w:p w:rsidR="005D3786" w:rsidRPr="00F11E63" w:rsidRDefault="005D3786" w:rsidP="00C86C8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3786" w:rsidRPr="00F11E63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D3786" w:rsidRPr="00F11E63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786" w:rsidRPr="00F11E63" w:rsidRDefault="005D3786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1E63">
              <w:rPr>
                <w:rFonts w:ascii="Times New Roman" w:hAnsi="Times New Roman" w:cs="Times New Roman"/>
                <w:b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3786" w:rsidRPr="00065868" w:rsidRDefault="005D3786" w:rsidP="002C45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C453E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3786" w:rsidRPr="00065868" w:rsidRDefault="002C453E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2C453E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2C453E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D3786" w:rsidRPr="00065868" w:rsidRDefault="002C453E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3786" w:rsidRPr="00065868" w:rsidRDefault="002C453E" w:rsidP="00C86C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D3786" w:rsidRPr="00065868">
              <w:rPr>
                <w:rFonts w:ascii="Times New Roman" w:hAnsi="Times New Roman" w:cs="Times New Roman"/>
                <w:b/>
                <w:sz w:val="26"/>
                <w:szCs w:val="26"/>
              </w:rPr>
              <w:t>00,0</w:t>
            </w:r>
          </w:p>
        </w:tc>
      </w:tr>
      <w:tr w:rsidR="000E2F7C" w:rsidRPr="007B533E" w:rsidTr="00C86C88">
        <w:trPr>
          <w:cantSplit/>
          <w:trHeight w:val="2282"/>
        </w:trPr>
        <w:tc>
          <w:tcPr>
            <w:tcW w:w="381" w:type="dxa"/>
            <w:shd w:val="clear" w:color="auto" w:fill="auto"/>
            <w:vAlign w:val="center"/>
          </w:tcPr>
          <w:p w:rsidR="000E2F7C" w:rsidRPr="000531FB" w:rsidRDefault="000E2F7C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E2F7C" w:rsidRPr="000531FB" w:rsidRDefault="000E2F7C" w:rsidP="00C86C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мероприятий, направленных на развитие и поддержку ДПК и добровольных пожарных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2F7C" w:rsidRPr="000531FB" w:rsidRDefault="000E2F7C" w:rsidP="00025F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25F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025F0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2F7C" w:rsidRPr="000531FB" w:rsidRDefault="000E2F7C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района</w:t>
            </w:r>
            <w:r w:rsidRPr="000531F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(отдел по делам ГОЧС) </w:t>
            </w:r>
            <w:r w:rsidRPr="000531FB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2F7C" w:rsidRPr="000531FB" w:rsidRDefault="000E2F7C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E2F7C" w:rsidRPr="000531FB" w:rsidRDefault="000E2F7C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E2F7C" w:rsidRPr="000531FB" w:rsidRDefault="000E2F7C" w:rsidP="000E2F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2F7C" w:rsidRPr="000531FB" w:rsidRDefault="000E2F7C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2F7C" w:rsidRPr="000531FB" w:rsidRDefault="000E2F7C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E2F7C" w:rsidRPr="000531FB" w:rsidRDefault="000E2F7C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2F7C" w:rsidRPr="000531FB" w:rsidRDefault="000E2F7C" w:rsidP="00C86C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1F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</w:tbl>
    <w:p w:rsidR="002A0BFB" w:rsidRPr="0086552C" w:rsidRDefault="002A0BFB" w:rsidP="00D42F63">
      <w:pPr>
        <w:rPr>
          <w:rFonts w:ascii="Times New Roman" w:hAnsi="Times New Roman" w:cs="Times New Roman"/>
          <w:sz w:val="28"/>
          <w:szCs w:val="28"/>
        </w:rPr>
      </w:pPr>
    </w:p>
    <w:sectPr w:rsidR="002A0BFB" w:rsidRPr="0086552C" w:rsidSect="00AD4CC6">
      <w:headerReference w:type="even" r:id="rId20"/>
      <w:headerReference w:type="default" r:id="rId21"/>
      <w:pgSz w:w="16838" w:h="11906" w:orient="landscape"/>
      <w:pgMar w:top="1134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3EA" w:rsidRDefault="003653EA" w:rsidP="002A0BFB">
      <w:pPr>
        <w:spacing w:after="0" w:line="240" w:lineRule="auto"/>
      </w:pPr>
      <w:r>
        <w:separator/>
      </w:r>
    </w:p>
  </w:endnote>
  <w:endnote w:type="continuationSeparator" w:id="0">
    <w:p w:rsidR="003653EA" w:rsidRDefault="003653EA" w:rsidP="002A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3EA" w:rsidRDefault="003653EA" w:rsidP="002A0BFB">
      <w:pPr>
        <w:spacing w:after="0" w:line="240" w:lineRule="auto"/>
      </w:pPr>
      <w:r>
        <w:separator/>
      </w:r>
    </w:p>
  </w:footnote>
  <w:footnote w:type="continuationSeparator" w:id="0">
    <w:p w:rsidR="003653EA" w:rsidRDefault="003653EA" w:rsidP="002A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575" w:rsidRDefault="00BD07EF">
    <w:pPr>
      <w:pStyle w:val="a6"/>
      <w:jc w:val="center"/>
    </w:pPr>
    <w:fldSimple w:instr="PAGE   \* MERGEFORMAT">
      <w:r w:rsidR="00A2391C">
        <w:rPr>
          <w:noProof/>
        </w:rPr>
        <w:t>15</w:t>
      </w:r>
    </w:fldSimple>
  </w:p>
  <w:p w:rsidR="004A0575" w:rsidRDefault="004A05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575" w:rsidRDefault="00BD07EF" w:rsidP="00B74F12">
    <w:pPr>
      <w:pStyle w:val="a6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 w:rsidR="004A0575"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4A0575" w:rsidRDefault="004A0575">
    <w:pPr>
      <w:pStyle w:val="a6"/>
    </w:pPr>
  </w:p>
  <w:p w:rsidR="004A0575" w:rsidRDefault="004A057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575" w:rsidRDefault="00BD07EF" w:rsidP="00B74F12">
    <w:pPr>
      <w:pStyle w:val="a6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 w:rsidR="004A0575"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A2391C">
      <w:rPr>
        <w:rStyle w:val="aff"/>
        <w:noProof/>
      </w:rPr>
      <w:t>23</w:t>
    </w:r>
    <w:r>
      <w:rPr>
        <w:rStyle w:val="aff"/>
      </w:rPr>
      <w:fldChar w:fldCharType="end"/>
    </w:r>
  </w:p>
  <w:p w:rsidR="004A0575" w:rsidRDefault="004A0575">
    <w:pPr>
      <w:pStyle w:val="a6"/>
    </w:pPr>
  </w:p>
  <w:p w:rsidR="004A0575" w:rsidRDefault="004A057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BDD"/>
    <w:multiLevelType w:val="hybridMultilevel"/>
    <w:tmpl w:val="0ACC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A57AA"/>
    <w:multiLevelType w:val="hybridMultilevel"/>
    <w:tmpl w:val="169A5994"/>
    <w:lvl w:ilvl="0" w:tplc="526450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745E68"/>
    <w:multiLevelType w:val="hybridMultilevel"/>
    <w:tmpl w:val="246216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0A468B"/>
    <w:multiLevelType w:val="multilevel"/>
    <w:tmpl w:val="08B0C49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8B41D7D"/>
    <w:multiLevelType w:val="hybridMultilevel"/>
    <w:tmpl w:val="5F500614"/>
    <w:lvl w:ilvl="0" w:tplc="8CB8EFD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F6324"/>
    <w:multiLevelType w:val="hybridMultilevel"/>
    <w:tmpl w:val="34DA147C"/>
    <w:lvl w:ilvl="0" w:tplc="3FA8A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9169E5"/>
    <w:multiLevelType w:val="hybridMultilevel"/>
    <w:tmpl w:val="E3E8F9D8"/>
    <w:lvl w:ilvl="0" w:tplc="AF003CE0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FB5408"/>
    <w:multiLevelType w:val="multilevel"/>
    <w:tmpl w:val="29F8825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D73FF8"/>
    <w:multiLevelType w:val="multilevel"/>
    <w:tmpl w:val="ABA2E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1DE92EA9"/>
    <w:multiLevelType w:val="hybridMultilevel"/>
    <w:tmpl w:val="822C4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74E31"/>
    <w:multiLevelType w:val="multilevel"/>
    <w:tmpl w:val="6644B4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22A974ED"/>
    <w:multiLevelType w:val="hybridMultilevel"/>
    <w:tmpl w:val="9D00739E"/>
    <w:lvl w:ilvl="0" w:tplc="DC1A5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0FFF"/>
    <w:multiLevelType w:val="hybridMultilevel"/>
    <w:tmpl w:val="990AA3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51C58"/>
    <w:multiLevelType w:val="hybridMultilevel"/>
    <w:tmpl w:val="0582AAD6"/>
    <w:lvl w:ilvl="0" w:tplc="97EA5548">
      <w:start w:val="57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3AF20ED4"/>
    <w:multiLevelType w:val="hybridMultilevel"/>
    <w:tmpl w:val="664E1FDE"/>
    <w:lvl w:ilvl="0" w:tplc="68027F26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147D8C"/>
    <w:multiLevelType w:val="hybridMultilevel"/>
    <w:tmpl w:val="23EA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56D47"/>
    <w:multiLevelType w:val="hybridMultilevel"/>
    <w:tmpl w:val="0D9E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36563"/>
    <w:multiLevelType w:val="hybridMultilevel"/>
    <w:tmpl w:val="783A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73ACA"/>
    <w:multiLevelType w:val="multilevel"/>
    <w:tmpl w:val="CADA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9">
    <w:nsid w:val="56E31012"/>
    <w:multiLevelType w:val="hybridMultilevel"/>
    <w:tmpl w:val="7DC8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CF01AA0"/>
    <w:multiLevelType w:val="hybridMultilevel"/>
    <w:tmpl w:val="168EC9B4"/>
    <w:lvl w:ilvl="0" w:tplc="0E8EB67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D8467A8"/>
    <w:multiLevelType w:val="hybridMultilevel"/>
    <w:tmpl w:val="7B829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772C2"/>
    <w:multiLevelType w:val="hybridMultilevel"/>
    <w:tmpl w:val="72DA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320FA"/>
    <w:multiLevelType w:val="hybridMultilevel"/>
    <w:tmpl w:val="9DFC5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935A8F"/>
    <w:multiLevelType w:val="hybridMultilevel"/>
    <w:tmpl w:val="5C94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14AC9"/>
    <w:multiLevelType w:val="hybridMultilevel"/>
    <w:tmpl w:val="2DCA0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BF01229"/>
    <w:multiLevelType w:val="hybridMultilevel"/>
    <w:tmpl w:val="662E6586"/>
    <w:lvl w:ilvl="0" w:tplc="14B4C17C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BB2FD1"/>
    <w:multiLevelType w:val="hybridMultilevel"/>
    <w:tmpl w:val="DBC0DE64"/>
    <w:lvl w:ilvl="0" w:tplc="69B25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15445"/>
    <w:multiLevelType w:val="hybridMultilevel"/>
    <w:tmpl w:val="23EA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6585C"/>
    <w:multiLevelType w:val="hybridMultilevel"/>
    <w:tmpl w:val="F6909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C039C"/>
    <w:multiLevelType w:val="hybridMultilevel"/>
    <w:tmpl w:val="1B0A9520"/>
    <w:lvl w:ilvl="0" w:tplc="CB1A4A7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7EF60900"/>
    <w:multiLevelType w:val="hybridMultilevel"/>
    <w:tmpl w:val="5C94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866DE"/>
    <w:multiLevelType w:val="hybridMultilevel"/>
    <w:tmpl w:val="FBA470D0"/>
    <w:lvl w:ilvl="0" w:tplc="CD5CE6E2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22"/>
  </w:num>
  <w:num w:numId="5">
    <w:abstractNumId w:val="16"/>
  </w:num>
  <w:num w:numId="6">
    <w:abstractNumId w:val="21"/>
  </w:num>
  <w:num w:numId="7">
    <w:abstractNumId w:val="4"/>
  </w:num>
  <w:num w:numId="8">
    <w:abstractNumId w:val="28"/>
  </w:num>
  <w:num w:numId="9">
    <w:abstractNumId w:val="12"/>
  </w:num>
  <w:num w:numId="10">
    <w:abstractNumId w:val="30"/>
  </w:num>
  <w:num w:numId="11">
    <w:abstractNumId w:val="31"/>
  </w:num>
  <w:num w:numId="12">
    <w:abstractNumId w:val="15"/>
  </w:num>
  <w:num w:numId="13">
    <w:abstractNumId w:val="23"/>
  </w:num>
  <w:num w:numId="14">
    <w:abstractNumId w:val="19"/>
  </w:num>
  <w:num w:numId="15">
    <w:abstractNumId w:val="11"/>
  </w:num>
  <w:num w:numId="16">
    <w:abstractNumId w:val="20"/>
  </w:num>
  <w:num w:numId="17">
    <w:abstractNumId w:val="5"/>
  </w:num>
  <w:num w:numId="18">
    <w:abstractNumId w:val="27"/>
  </w:num>
  <w:num w:numId="19">
    <w:abstractNumId w:val="9"/>
  </w:num>
  <w:num w:numId="20">
    <w:abstractNumId w:val="2"/>
  </w:num>
  <w:num w:numId="21">
    <w:abstractNumId w:val="14"/>
  </w:num>
  <w:num w:numId="22">
    <w:abstractNumId w:val="18"/>
  </w:num>
  <w:num w:numId="23">
    <w:abstractNumId w:val="13"/>
  </w:num>
  <w:num w:numId="24">
    <w:abstractNumId w:val="10"/>
  </w:num>
  <w:num w:numId="25">
    <w:abstractNumId w:val="7"/>
  </w:num>
  <w:num w:numId="26">
    <w:abstractNumId w:val="3"/>
  </w:num>
  <w:num w:numId="27">
    <w:abstractNumId w:val="32"/>
  </w:num>
  <w:num w:numId="28">
    <w:abstractNumId w:val="1"/>
  </w:num>
  <w:num w:numId="29">
    <w:abstractNumId w:val="25"/>
  </w:num>
  <w:num w:numId="30">
    <w:abstractNumId w:val="26"/>
  </w:num>
  <w:num w:numId="31">
    <w:abstractNumId w:val="6"/>
  </w:num>
  <w:num w:numId="32">
    <w:abstractNumId w:val="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018"/>
    <w:rsid w:val="000032C6"/>
    <w:rsid w:val="00003990"/>
    <w:rsid w:val="0001491C"/>
    <w:rsid w:val="000219D2"/>
    <w:rsid w:val="0002272E"/>
    <w:rsid w:val="00023F12"/>
    <w:rsid w:val="00025F0A"/>
    <w:rsid w:val="0003222E"/>
    <w:rsid w:val="00037F27"/>
    <w:rsid w:val="00041F55"/>
    <w:rsid w:val="000436E3"/>
    <w:rsid w:val="00044EEE"/>
    <w:rsid w:val="0005062A"/>
    <w:rsid w:val="000516E9"/>
    <w:rsid w:val="00051B75"/>
    <w:rsid w:val="000531FB"/>
    <w:rsid w:val="000630BB"/>
    <w:rsid w:val="00065868"/>
    <w:rsid w:val="000676FA"/>
    <w:rsid w:val="00076F7F"/>
    <w:rsid w:val="000800E9"/>
    <w:rsid w:val="00091866"/>
    <w:rsid w:val="000922D3"/>
    <w:rsid w:val="00095F9E"/>
    <w:rsid w:val="000A2771"/>
    <w:rsid w:val="000B385C"/>
    <w:rsid w:val="000B46B6"/>
    <w:rsid w:val="000D209D"/>
    <w:rsid w:val="000D34AB"/>
    <w:rsid w:val="000E2F7C"/>
    <w:rsid w:val="000F03AA"/>
    <w:rsid w:val="000F0C64"/>
    <w:rsid w:val="000F290E"/>
    <w:rsid w:val="0011014E"/>
    <w:rsid w:val="001121DA"/>
    <w:rsid w:val="00122002"/>
    <w:rsid w:val="001243AD"/>
    <w:rsid w:val="001268B6"/>
    <w:rsid w:val="00135F06"/>
    <w:rsid w:val="00136ED1"/>
    <w:rsid w:val="00137E0C"/>
    <w:rsid w:val="00153254"/>
    <w:rsid w:val="0015336A"/>
    <w:rsid w:val="00153FA4"/>
    <w:rsid w:val="0016166D"/>
    <w:rsid w:val="00163CE0"/>
    <w:rsid w:val="0016471B"/>
    <w:rsid w:val="00165708"/>
    <w:rsid w:val="00165799"/>
    <w:rsid w:val="0017080D"/>
    <w:rsid w:val="001739DD"/>
    <w:rsid w:val="00177A47"/>
    <w:rsid w:val="00177E3C"/>
    <w:rsid w:val="00181F66"/>
    <w:rsid w:val="001859DB"/>
    <w:rsid w:val="00191DD3"/>
    <w:rsid w:val="00195F9B"/>
    <w:rsid w:val="001A2F9C"/>
    <w:rsid w:val="001B21D9"/>
    <w:rsid w:val="001D4A12"/>
    <w:rsid w:val="001D5DC4"/>
    <w:rsid w:val="001E3898"/>
    <w:rsid w:val="001E5BF1"/>
    <w:rsid w:val="001F5E13"/>
    <w:rsid w:val="002002A2"/>
    <w:rsid w:val="002010A5"/>
    <w:rsid w:val="002040D3"/>
    <w:rsid w:val="002067A3"/>
    <w:rsid w:val="0021191D"/>
    <w:rsid w:val="002141F9"/>
    <w:rsid w:val="00223EC5"/>
    <w:rsid w:val="00233098"/>
    <w:rsid w:val="0023445B"/>
    <w:rsid w:val="00236498"/>
    <w:rsid w:val="00237B33"/>
    <w:rsid w:val="00257A38"/>
    <w:rsid w:val="00260122"/>
    <w:rsid w:val="00260C56"/>
    <w:rsid w:val="00264194"/>
    <w:rsid w:val="0026761C"/>
    <w:rsid w:val="00277496"/>
    <w:rsid w:val="00280120"/>
    <w:rsid w:val="00282D3F"/>
    <w:rsid w:val="00282FF4"/>
    <w:rsid w:val="00285B2E"/>
    <w:rsid w:val="00287935"/>
    <w:rsid w:val="00290018"/>
    <w:rsid w:val="00292D1F"/>
    <w:rsid w:val="002978E3"/>
    <w:rsid w:val="002A00B0"/>
    <w:rsid w:val="002A0BFB"/>
    <w:rsid w:val="002A3496"/>
    <w:rsid w:val="002A77E4"/>
    <w:rsid w:val="002B3AA4"/>
    <w:rsid w:val="002B4FD7"/>
    <w:rsid w:val="002C07E5"/>
    <w:rsid w:val="002C3A85"/>
    <w:rsid w:val="002C453E"/>
    <w:rsid w:val="002C5CF7"/>
    <w:rsid w:val="002D263A"/>
    <w:rsid w:val="002D5745"/>
    <w:rsid w:val="002E4524"/>
    <w:rsid w:val="00301A13"/>
    <w:rsid w:val="00302AB1"/>
    <w:rsid w:val="00323882"/>
    <w:rsid w:val="003358EE"/>
    <w:rsid w:val="0033695C"/>
    <w:rsid w:val="00341275"/>
    <w:rsid w:val="00342A80"/>
    <w:rsid w:val="00343870"/>
    <w:rsid w:val="003536D6"/>
    <w:rsid w:val="0035657A"/>
    <w:rsid w:val="00361F6A"/>
    <w:rsid w:val="00364CF9"/>
    <w:rsid w:val="003653EA"/>
    <w:rsid w:val="00370AAA"/>
    <w:rsid w:val="00377EB5"/>
    <w:rsid w:val="003A3BD8"/>
    <w:rsid w:val="003C1CFA"/>
    <w:rsid w:val="003C296D"/>
    <w:rsid w:val="003C3B30"/>
    <w:rsid w:val="003C50CB"/>
    <w:rsid w:val="003C591B"/>
    <w:rsid w:val="003C748E"/>
    <w:rsid w:val="003D1ED9"/>
    <w:rsid w:val="003D5B34"/>
    <w:rsid w:val="003D7EA2"/>
    <w:rsid w:val="003E12E0"/>
    <w:rsid w:val="003E1AD7"/>
    <w:rsid w:val="003F2BA4"/>
    <w:rsid w:val="003F2E7B"/>
    <w:rsid w:val="003F6470"/>
    <w:rsid w:val="004012FD"/>
    <w:rsid w:val="00403158"/>
    <w:rsid w:val="0042011D"/>
    <w:rsid w:val="004208A7"/>
    <w:rsid w:val="00420C02"/>
    <w:rsid w:val="00426E09"/>
    <w:rsid w:val="00427DCE"/>
    <w:rsid w:val="00437C23"/>
    <w:rsid w:val="004463F4"/>
    <w:rsid w:val="00447E68"/>
    <w:rsid w:val="004606AA"/>
    <w:rsid w:val="0046289F"/>
    <w:rsid w:val="00465EE3"/>
    <w:rsid w:val="0048486D"/>
    <w:rsid w:val="004A0575"/>
    <w:rsid w:val="004A6F6C"/>
    <w:rsid w:val="004B3E1D"/>
    <w:rsid w:val="004B585B"/>
    <w:rsid w:val="004C5812"/>
    <w:rsid w:val="004D2129"/>
    <w:rsid w:val="004D5019"/>
    <w:rsid w:val="004D62AB"/>
    <w:rsid w:val="004E1625"/>
    <w:rsid w:val="004E1FEE"/>
    <w:rsid w:val="004E62F8"/>
    <w:rsid w:val="004F1626"/>
    <w:rsid w:val="004F3B87"/>
    <w:rsid w:val="004F4543"/>
    <w:rsid w:val="00505042"/>
    <w:rsid w:val="005100B4"/>
    <w:rsid w:val="005149BB"/>
    <w:rsid w:val="0053419C"/>
    <w:rsid w:val="00537292"/>
    <w:rsid w:val="00544D51"/>
    <w:rsid w:val="00547607"/>
    <w:rsid w:val="0055574B"/>
    <w:rsid w:val="00557FAC"/>
    <w:rsid w:val="005606DA"/>
    <w:rsid w:val="005617D5"/>
    <w:rsid w:val="005651A0"/>
    <w:rsid w:val="0057207B"/>
    <w:rsid w:val="005720F4"/>
    <w:rsid w:val="0059481A"/>
    <w:rsid w:val="005B3E4A"/>
    <w:rsid w:val="005B5A58"/>
    <w:rsid w:val="005C4038"/>
    <w:rsid w:val="005C5A4B"/>
    <w:rsid w:val="005D3786"/>
    <w:rsid w:val="005F5D6A"/>
    <w:rsid w:val="005F740C"/>
    <w:rsid w:val="00610D84"/>
    <w:rsid w:val="00614155"/>
    <w:rsid w:val="00615A9E"/>
    <w:rsid w:val="00635287"/>
    <w:rsid w:val="00636D57"/>
    <w:rsid w:val="00640EED"/>
    <w:rsid w:val="00642D0B"/>
    <w:rsid w:val="006512CD"/>
    <w:rsid w:val="00655598"/>
    <w:rsid w:val="0067323E"/>
    <w:rsid w:val="0067429F"/>
    <w:rsid w:val="006763DE"/>
    <w:rsid w:val="0067685D"/>
    <w:rsid w:val="00677AFD"/>
    <w:rsid w:val="006832A1"/>
    <w:rsid w:val="0068423A"/>
    <w:rsid w:val="00686052"/>
    <w:rsid w:val="006964BF"/>
    <w:rsid w:val="0069676D"/>
    <w:rsid w:val="006974FB"/>
    <w:rsid w:val="006A26E5"/>
    <w:rsid w:val="006A3216"/>
    <w:rsid w:val="006A44AE"/>
    <w:rsid w:val="006B0157"/>
    <w:rsid w:val="006B566F"/>
    <w:rsid w:val="006B6A12"/>
    <w:rsid w:val="006E6E86"/>
    <w:rsid w:val="006E7F84"/>
    <w:rsid w:val="006F52C2"/>
    <w:rsid w:val="00704A4F"/>
    <w:rsid w:val="007065A7"/>
    <w:rsid w:val="00711026"/>
    <w:rsid w:val="007120CF"/>
    <w:rsid w:val="00714DFB"/>
    <w:rsid w:val="00722FE5"/>
    <w:rsid w:val="0073132E"/>
    <w:rsid w:val="0073376A"/>
    <w:rsid w:val="0075001E"/>
    <w:rsid w:val="00751B73"/>
    <w:rsid w:val="00757D8E"/>
    <w:rsid w:val="00770AA1"/>
    <w:rsid w:val="007734C6"/>
    <w:rsid w:val="00773C35"/>
    <w:rsid w:val="00774878"/>
    <w:rsid w:val="007813EB"/>
    <w:rsid w:val="007864A2"/>
    <w:rsid w:val="00793BF0"/>
    <w:rsid w:val="007A50E4"/>
    <w:rsid w:val="007A5132"/>
    <w:rsid w:val="007B533E"/>
    <w:rsid w:val="007C1C2A"/>
    <w:rsid w:val="007C4407"/>
    <w:rsid w:val="007D35B6"/>
    <w:rsid w:val="007D7319"/>
    <w:rsid w:val="007E3307"/>
    <w:rsid w:val="007E52A4"/>
    <w:rsid w:val="007E5BDF"/>
    <w:rsid w:val="007F45DB"/>
    <w:rsid w:val="007F4A8D"/>
    <w:rsid w:val="007F7478"/>
    <w:rsid w:val="0080579A"/>
    <w:rsid w:val="00813838"/>
    <w:rsid w:val="00823E8A"/>
    <w:rsid w:val="008251FF"/>
    <w:rsid w:val="008265D2"/>
    <w:rsid w:val="00830BD1"/>
    <w:rsid w:val="00834A25"/>
    <w:rsid w:val="00835DAB"/>
    <w:rsid w:val="0083712C"/>
    <w:rsid w:val="00844D88"/>
    <w:rsid w:val="00847DF5"/>
    <w:rsid w:val="00850C84"/>
    <w:rsid w:val="008529A4"/>
    <w:rsid w:val="0086179C"/>
    <w:rsid w:val="00862E56"/>
    <w:rsid w:val="0086552C"/>
    <w:rsid w:val="00872AE7"/>
    <w:rsid w:val="008870AE"/>
    <w:rsid w:val="00892EBB"/>
    <w:rsid w:val="008A6A2E"/>
    <w:rsid w:val="008B1056"/>
    <w:rsid w:val="008B1259"/>
    <w:rsid w:val="008C04B5"/>
    <w:rsid w:val="008C5BCD"/>
    <w:rsid w:val="008D66F6"/>
    <w:rsid w:val="008E4C11"/>
    <w:rsid w:val="008E6A49"/>
    <w:rsid w:val="008F1596"/>
    <w:rsid w:val="008F1633"/>
    <w:rsid w:val="00903E36"/>
    <w:rsid w:val="00907814"/>
    <w:rsid w:val="00925FB1"/>
    <w:rsid w:val="00933FA7"/>
    <w:rsid w:val="00943FB2"/>
    <w:rsid w:val="00952B4A"/>
    <w:rsid w:val="00956E4F"/>
    <w:rsid w:val="0096107A"/>
    <w:rsid w:val="0096114B"/>
    <w:rsid w:val="00962F02"/>
    <w:rsid w:val="00963A59"/>
    <w:rsid w:val="00965B2D"/>
    <w:rsid w:val="0096665B"/>
    <w:rsid w:val="00967E90"/>
    <w:rsid w:val="00971134"/>
    <w:rsid w:val="00975513"/>
    <w:rsid w:val="009822AF"/>
    <w:rsid w:val="009A0A5C"/>
    <w:rsid w:val="009A14C3"/>
    <w:rsid w:val="009A1D85"/>
    <w:rsid w:val="009A2C0E"/>
    <w:rsid w:val="009A5708"/>
    <w:rsid w:val="009A79D3"/>
    <w:rsid w:val="009B03AB"/>
    <w:rsid w:val="009B1E15"/>
    <w:rsid w:val="009B5E1E"/>
    <w:rsid w:val="009C33E7"/>
    <w:rsid w:val="009C67FB"/>
    <w:rsid w:val="009D652E"/>
    <w:rsid w:val="009E76AA"/>
    <w:rsid w:val="009F7694"/>
    <w:rsid w:val="00A1180C"/>
    <w:rsid w:val="00A12B88"/>
    <w:rsid w:val="00A14983"/>
    <w:rsid w:val="00A15C9B"/>
    <w:rsid w:val="00A22D55"/>
    <w:rsid w:val="00A2391C"/>
    <w:rsid w:val="00A23D99"/>
    <w:rsid w:val="00A37680"/>
    <w:rsid w:val="00A40706"/>
    <w:rsid w:val="00A53910"/>
    <w:rsid w:val="00A544D9"/>
    <w:rsid w:val="00A57306"/>
    <w:rsid w:val="00A71C28"/>
    <w:rsid w:val="00A7242E"/>
    <w:rsid w:val="00A73F08"/>
    <w:rsid w:val="00A7424E"/>
    <w:rsid w:val="00A80C82"/>
    <w:rsid w:val="00A92078"/>
    <w:rsid w:val="00A95817"/>
    <w:rsid w:val="00AA3346"/>
    <w:rsid w:val="00AA3353"/>
    <w:rsid w:val="00AA6EAA"/>
    <w:rsid w:val="00AD4CC6"/>
    <w:rsid w:val="00AD61F8"/>
    <w:rsid w:val="00AE12F4"/>
    <w:rsid w:val="00AE4476"/>
    <w:rsid w:val="00AE7AEE"/>
    <w:rsid w:val="00AF0C82"/>
    <w:rsid w:val="00AF4AC2"/>
    <w:rsid w:val="00B01DC9"/>
    <w:rsid w:val="00B02FDA"/>
    <w:rsid w:val="00B0524D"/>
    <w:rsid w:val="00B05B1B"/>
    <w:rsid w:val="00B201F3"/>
    <w:rsid w:val="00B209ED"/>
    <w:rsid w:val="00B25D10"/>
    <w:rsid w:val="00B31328"/>
    <w:rsid w:val="00B3752A"/>
    <w:rsid w:val="00B47064"/>
    <w:rsid w:val="00B55A24"/>
    <w:rsid w:val="00B64CC1"/>
    <w:rsid w:val="00B65BAA"/>
    <w:rsid w:val="00B702DD"/>
    <w:rsid w:val="00B70484"/>
    <w:rsid w:val="00B73822"/>
    <w:rsid w:val="00B74F12"/>
    <w:rsid w:val="00B773AD"/>
    <w:rsid w:val="00B820D4"/>
    <w:rsid w:val="00B83C4C"/>
    <w:rsid w:val="00B96FBC"/>
    <w:rsid w:val="00B97E8A"/>
    <w:rsid w:val="00BA7A4E"/>
    <w:rsid w:val="00BB1B7A"/>
    <w:rsid w:val="00BB5FF2"/>
    <w:rsid w:val="00BC2ACB"/>
    <w:rsid w:val="00BC530E"/>
    <w:rsid w:val="00BD07EF"/>
    <w:rsid w:val="00BD6F5E"/>
    <w:rsid w:val="00BE0448"/>
    <w:rsid w:val="00BE13F1"/>
    <w:rsid w:val="00BE4776"/>
    <w:rsid w:val="00BF3DAF"/>
    <w:rsid w:val="00C00B1D"/>
    <w:rsid w:val="00C04449"/>
    <w:rsid w:val="00C05B5A"/>
    <w:rsid w:val="00C0799A"/>
    <w:rsid w:val="00C1018B"/>
    <w:rsid w:val="00C177A3"/>
    <w:rsid w:val="00C230B0"/>
    <w:rsid w:val="00C36532"/>
    <w:rsid w:val="00C4040F"/>
    <w:rsid w:val="00C633AA"/>
    <w:rsid w:val="00C63698"/>
    <w:rsid w:val="00C649C9"/>
    <w:rsid w:val="00C6651A"/>
    <w:rsid w:val="00C67986"/>
    <w:rsid w:val="00C760C5"/>
    <w:rsid w:val="00C86C88"/>
    <w:rsid w:val="00C93E25"/>
    <w:rsid w:val="00C95438"/>
    <w:rsid w:val="00C95515"/>
    <w:rsid w:val="00CA36D5"/>
    <w:rsid w:val="00CA4CA0"/>
    <w:rsid w:val="00CA61E7"/>
    <w:rsid w:val="00CA7A1F"/>
    <w:rsid w:val="00CA7BD6"/>
    <w:rsid w:val="00CB2873"/>
    <w:rsid w:val="00CB722D"/>
    <w:rsid w:val="00CC239F"/>
    <w:rsid w:val="00CC6702"/>
    <w:rsid w:val="00CD04A8"/>
    <w:rsid w:val="00CD546F"/>
    <w:rsid w:val="00CE0DA4"/>
    <w:rsid w:val="00CE6D33"/>
    <w:rsid w:val="00D026EA"/>
    <w:rsid w:val="00D060C7"/>
    <w:rsid w:val="00D13CD0"/>
    <w:rsid w:val="00D1561B"/>
    <w:rsid w:val="00D16804"/>
    <w:rsid w:val="00D23DD8"/>
    <w:rsid w:val="00D319E4"/>
    <w:rsid w:val="00D3475C"/>
    <w:rsid w:val="00D42F63"/>
    <w:rsid w:val="00D5291D"/>
    <w:rsid w:val="00D52E31"/>
    <w:rsid w:val="00D532B8"/>
    <w:rsid w:val="00D62AE5"/>
    <w:rsid w:val="00D80369"/>
    <w:rsid w:val="00D82D63"/>
    <w:rsid w:val="00D91AD7"/>
    <w:rsid w:val="00D91C18"/>
    <w:rsid w:val="00D9249B"/>
    <w:rsid w:val="00D94CA4"/>
    <w:rsid w:val="00DA4598"/>
    <w:rsid w:val="00DB0A13"/>
    <w:rsid w:val="00DB75E8"/>
    <w:rsid w:val="00DB775D"/>
    <w:rsid w:val="00DC0C48"/>
    <w:rsid w:val="00DC1971"/>
    <w:rsid w:val="00DD22E8"/>
    <w:rsid w:val="00DD4344"/>
    <w:rsid w:val="00DD44AC"/>
    <w:rsid w:val="00DD47FB"/>
    <w:rsid w:val="00DE5984"/>
    <w:rsid w:val="00DE72F7"/>
    <w:rsid w:val="00DF238D"/>
    <w:rsid w:val="00E04000"/>
    <w:rsid w:val="00E0598D"/>
    <w:rsid w:val="00E169EA"/>
    <w:rsid w:val="00E21B32"/>
    <w:rsid w:val="00E23C37"/>
    <w:rsid w:val="00E24595"/>
    <w:rsid w:val="00E62BCA"/>
    <w:rsid w:val="00E63C9D"/>
    <w:rsid w:val="00E65818"/>
    <w:rsid w:val="00E70DB2"/>
    <w:rsid w:val="00E77114"/>
    <w:rsid w:val="00E772BF"/>
    <w:rsid w:val="00E85B10"/>
    <w:rsid w:val="00E902CE"/>
    <w:rsid w:val="00E95F47"/>
    <w:rsid w:val="00E97062"/>
    <w:rsid w:val="00EA0763"/>
    <w:rsid w:val="00EA5DDF"/>
    <w:rsid w:val="00EA6361"/>
    <w:rsid w:val="00EC187F"/>
    <w:rsid w:val="00EC44F0"/>
    <w:rsid w:val="00EC5B82"/>
    <w:rsid w:val="00ED5941"/>
    <w:rsid w:val="00ED5EB5"/>
    <w:rsid w:val="00EE3289"/>
    <w:rsid w:val="00EE58D0"/>
    <w:rsid w:val="00EF3B44"/>
    <w:rsid w:val="00EF7BD7"/>
    <w:rsid w:val="00F03E5F"/>
    <w:rsid w:val="00F06DE5"/>
    <w:rsid w:val="00F10F0F"/>
    <w:rsid w:val="00F11E63"/>
    <w:rsid w:val="00F15D68"/>
    <w:rsid w:val="00F24340"/>
    <w:rsid w:val="00F26C5D"/>
    <w:rsid w:val="00F321F9"/>
    <w:rsid w:val="00F37793"/>
    <w:rsid w:val="00F40E0F"/>
    <w:rsid w:val="00F41031"/>
    <w:rsid w:val="00F42895"/>
    <w:rsid w:val="00F43CC2"/>
    <w:rsid w:val="00F463AC"/>
    <w:rsid w:val="00F51637"/>
    <w:rsid w:val="00F51DBB"/>
    <w:rsid w:val="00F6726B"/>
    <w:rsid w:val="00F67E15"/>
    <w:rsid w:val="00F7577F"/>
    <w:rsid w:val="00F82F71"/>
    <w:rsid w:val="00F9147A"/>
    <w:rsid w:val="00FA10AB"/>
    <w:rsid w:val="00FA2750"/>
    <w:rsid w:val="00FA34A8"/>
    <w:rsid w:val="00FA7397"/>
    <w:rsid w:val="00FB5F6C"/>
    <w:rsid w:val="00FB7413"/>
    <w:rsid w:val="00FC1752"/>
    <w:rsid w:val="00FC1DE2"/>
    <w:rsid w:val="00FC3B59"/>
    <w:rsid w:val="00FC5D42"/>
    <w:rsid w:val="00FC710B"/>
    <w:rsid w:val="00FD27E8"/>
    <w:rsid w:val="00FD609A"/>
    <w:rsid w:val="00FE0419"/>
    <w:rsid w:val="00FE7BC9"/>
    <w:rsid w:val="00FF1DC4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4B5"/>
  </w:style>
  <w:style w:type="paragraph" w:styleId="1">
    <w:name w:val="heading 1"/>
    <w:basedOn w:val="a"/>
    <w:next w:val="a"/>
    <w:link w:val="10"/>
    <w:qFormat/>
    <w:rsid w:val="002A0BF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EIA H2,- 1.1,Chapter Title,Heading 2 URS,RSKH2,DNV-H2"/>
    <w:basedOn w:val="a"/>
    <w:next w:val="a"/>
    <w:link w:val="20"/>
    <w:semiHidden/>
    <w:qFormat/>
    <w:rsid w:val="002A0BF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7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qFormat/>
    <w:rsid w:val="002A0BFB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qFormat/>
    <w:rsid w:val="002A0BF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04B5"/>
    <w:pPr>
      <w:spacing w:after="0" w:line="240" w:lineRule="auto"/>
    </w:pPr>
  </w:style>
  <w:style w:type="paragraph" w:styleId="a4">
    <w:name w:val="Balloon Text"/>
    <w:basedOn w:val="a"/>
    <w:link w:val="a5"/>
    <w:uiPriority w:val="99"/>
    <w:unhideWhenUsed/>
    <w:rsid w:val="00C23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230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0BF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EIA H2 Знак,- 1.1 Знак,Chapter Title Знак,Heading 2 URS Знак,RSKH2 Знак,DNV-H2 Знак"/>
    <w:basedOn w:val="a0"/>
    <w:link w:val="2"/>
    <w:semiHidden/>
    <w:rsid w:val="002A0BFB"/>
    <w:rPr>
      <w:rFonts w:ascii="Arial" w:eastAsia="Times New Roman" w:hAnsi="Arial" w:cs="Times New Roman"/>
      <w:b/>
      <w:sz w:val="7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0BF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2A0BF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6">
    <w:name w:val="header"/>
    <w:basedOn w:val="a"/>
    <w:link w:val="a7"/>
    <w:semiHidden/>
    <w:rsid w:val="002A0B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2A0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2A0B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2A0B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2A0BFB"/>
    <w:rPr>
      <w:b/>
      <w:bCs/>
    </w:rPr>
  </w:style>
  <w:style w:type="table" w:styleId="ab">
    <w:name w:val="Table Grid"/>
    <w:basedOn w:val="a1"/>
    <w:uiPriority w:val="99"/>
    <w:rsid w:val="002A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aliases w:val="A_маркированный_список,List Paragraph"/>
    <w:basedOn w:val="a"/>
    <w:link w:val="ad"/>
    <w:uiPriority w:val="34"/>
    <w:qFormat/>
    <w:rsid w:val="002A0B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A_маркированный_список Знак,List Paragraph Знак"/>
    <w:link w:val="ac"/>
    <w:uiPriority w:val="34"/>
    <w:locked/>
    <w:rsid w:val="002A0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2A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2A0B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2A0BFB"/>
    <w:rPr>
      <w:vertAlign w:val="superscript"/>
    </w:rPr>
  </w:style>
  <w:style w:type="character" w:customStyle="1" w:styleId="af1">
    <w:name w:val="Гипертекстовая ссылка"/>
    <w:uiPriority w:val="99"/>
    <w:semiHidden/>
    <w:rsid w:val="002A0BFB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2A0B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2A0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Title">
    <w:name w:val="ConsPlusTitle"/>
    <w:rsid w:val="002A0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2A0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ody Text Indent"/>
    <w:basedOn w:val="a"/>
    <w:link w:val="af5"/>
    <w:rsid w:val="002A0BF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2A0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2A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semiHidden/>
    <w:rsid w:val="002A0B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semiHidden/>
    <w:rsid w:val="002A0B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2A0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nobr">
    <w:name w:val="nobr"/>
    <w:semiHidden/>
    <w:rsid w:val="002A0BFB"/>
  </w:style>
  <w:style w:type="character" w:customStyle="1" w:styleId="dt-rc">
    <w:name w:val="dt-rc"/>
    <w:semiHidden/>
    <w:rsid w:val="002A0BFB"/>
  </w:style>
  <w:style w:type="character" w:styleId="af7">
    <w:name w:val="Hyperlink"/>
    <w:uiPriority w:val="99"/>
    <w:rsid w:val="002A0BFB"/>
    <w:rPr>
      <w:color w:val="0000FF"/>
      <w:u w:val="single"/>
    </w:rPr>
  </w:style>
  <w:style w:type="paragraph" w:customStyle="1" w:styleId="dt-p">
    <w:name w:val="dt-p"/>
    <w:basedOn w:val="a"/>
    <w:semiHidden/>
    <w:rsid w:val="002A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endnote text"/>
    <w:basedOn w:val="a"/>
    <w:link w:val="af9"/>
    <w:uiPriority w:val="99"/>
    <w:unhideWhenUsed/>
    <w:rsid w:val="002A0B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2A0BFB"/>
    <w:rPr>
      <w:rFonts w:ascii="Calibri" w:eastAsia="Calibri" w:hAnsi="Calibri" w:cs="Times New Roman"/>
      <w:sz w:val="20"/>
      <w:szCs w:val="20"/>
    </w:rPr>
  </w:style>
  <w:style w:type="character" w:styleId="afa">
    <w:name w:val="endnote reference"/>
    <w:uiPriority w:val="99"/>
    <w:semiHidden/>
    <w:rsid w:val="002A0BFB"/>
    <w:rPr>
      <w:vertAlign w:val="superscript"/>
    </w:rPr>
  </w:style>
  <w:style w:type="paragraph" w:styleId="afb">
    <w:name w:val="Body Text"/>
    <w:basedOn w:val="a"/>
    <w:link w:val="afc"/>
    <w:rsid w:val="002A0B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2A0B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Другое_"/>
    <w:link w:val="afe"/>
    <w:uiPriority w:val="99"/>
    <w:semiHidden/>
    <w:locked/>
    <w:rsid w:val="002A0BFB"/>
    <w:rPr>
      <w:rFonts w:ascii="Arial" w:hAnsi="Arial" w:cs="Arial"/>
      <w:b/>
      <w:bCs/>
      <w:sz w:val="16"/>
      <w:szCs w:val="16"/>
    </w:rPr>
  </w:style>
  <w:style w:type="paragraph" w:customStyle="1" w:styleId="afe">
    <w:name w:val="Другое"/>
    <w:basedOn w:val="a"/>
    <w:link w:val="afd"/>
    <w:uiPriority w:val="99"/>
    <w:semiHidden/>
    <w:rsid w:val="002A0BFB"/>
    <w:pPr>
      <w:widowControl w:val="0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character" w:customStyle="1" w:styleId="212pt3">
    <w:name w:val="Основной текст (2) + 12 pt3"/>
    <w:aliases w:val="Полужирный"/>
    <w:uiPriority w:val="99"/>
    <w:rsid w:val="002A0BFB"/>
    <w:rPr>
      <w:rFonts w:ascii="Times New Roman" w:hAnsi="Times New Roman"/>
      <w:b/>
      <w:sz w:val="24"/>
      <w:u w:val="none"/>
      <w:effect w:val="none"/>
    </w:rPr>
  </w:style>
  <w:style w:type="character" w:customStyle="1" w:styleId="212pt">
    <w:name w:val="Основной текст (2) + 12 pt"/>
    <w:uiPriority w:val="99"/>
    <w:rsid w:val="002A0BFB"/>
    <w:rPr>
      <w:rFonts w:ascii="Times New Roman" w:hAnsi="Times New Roman"/>
      <w:sz w:val="24"/>
      <w:u w:val="none"/>
      <w:effect w:val="none"/>
    </w:rPr>
  </w:style>
  <w:style w:type="character" w:customStyle="1" w:styleId="41">
    <w:name w:val="Основной текст (4)_"/>
    <w:link w:val="42"/>
    <w:uiPriority w:val="99"/>
    <w:locked/>
    <w:rsid w:val="002A0BFB"/>
    <w:rPr>
      <w:b/>
      <w:sz w:val="2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A0BFB"/>
    <w:pPr>
      <w:widowControl w:val="0"/>
      <w:shd w:val="clear" w:color="auto" w:fill="FFFFFF"/>
      <w:spacing w:before="1920" w:after="5880" w:line="322" w:lineRule="exact"/>
      <w:ind w:hanging="1820"/>
      <w:jc w:val="center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2A0BFB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A0BFB"/>
    <w:pPr>
      <w:widowControl w:val="0"/>
      <w:shd w:val="clear" w:color="auto" w:fill="FFFFFF"/>
      <w:spacing w:before="300" w:after="0" w:line="322" w:lineRule="exact"/>
      <w:jc w:val="both"/>
    </w:pPr>
    <w:rPr>
      <w:sz w:val="28"/>
    </w:rPr>
  </w:style>
  <w:style w:type="character" w:customStyle="1" w:styleId="31">
    <w:name w:val="Основной текст (3)_"/>
    <w:link w:val="32"/>
    <w:uiPriority w:val="99"/>
    <w:locked/>
    <w:rsid w:val="002A0BFB"/>
    <w:rPr>
      <w:b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A0BFB"/>
    <w:pPr>
      <w:widowControl w:val="0"/>
      <w:shd w:val="clear" w:color="auto" w:fill="FFFFFF"/>
      <w:spacing w:after="600" w:line="278" w:lineRule="exact"/>
      <w:jc w:val="center"/>
    </w:pPr>
    <w:rPr>
      <w:b/>
    </w:rPr>
  </w:style>
  <w:style w:type="character" w:customStyle="1" w:styleId="212pt2">
    <w:name w:val="Основной текст (2) + 12 pt2"/>
    <w:uiPriority w:val="99"/>
    <w:rsid w:val="002A0BFB"/>
    <w:rPr>
      <w:rFonts w:ascii="Times New Roman" w:hAnsi="Times New Roman"/>
      <w:sz w:val="24"/>
      <w:u w:val="none"/>
    </w:rPr>
  </w:style>
  <w:style w:type="character" w:customStyle="1" w:styleId="11">
    <w:name w:val="Основной текст + 11"/>
    <w:aliases w:val="5 pt3,Полужирный4,5 pt2"/>
    <w:uiPriority w:val="99"/>
    <w:rsid w:val="002A0BFB"/>
    <w:rPr>
      <w:rFonts w:ascii="Times New Roman" w:hAnsi="Times New Roman"/>
      <w:b/>
      <w:sz w:val="23"/>
      <w:u w:val="none"/>
    </w:rPr>
  </w:style>
  <w:style w:type="character" w:styleId="aff">
    <w:name w:val="page number"/>
    <w:rsid w:val="002A0BFB"/>
  </w:style>
  <w:style w:type="character" w:customStyle="1" w:styleId="aff0">
    <w:name w:val="Основной текст_"/>
    <w:link w:val="33"/>
    <w:rsid w:val="002A0BFB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2A0BFB"/>
    <w:pPr>
      <w:widowControl w:val="0"/>
      <w:shd w:val="clear" w:color="auto" w:fill="FFFFFF"/>
      <w:spacing w:before="360" w:after="240" w:line="293" w:lineRule="exact"/>
      <w:jc w:val="both"/>
    </w:pPr>
    <w:rPr>
      <w:sz w:val="26"/>
      <w:szCs w:val="26"/>
    </w:rPr>
  </w:style>
  <w:style w:type="paragraph" w:customStyle="1" w:styleId="12">
    <w:name w:val="Название1"/>
    <w:basedOn w:val="a"/>
    <w:link w:val="aff1"/>
    <w:rsid w:val="002A0B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1">
    <w:name w:val="Название Знак"/>
    <w:link w:val="12"/>
    <w:rsid w:val="002A0B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3">
    <w:name w:val="Body Text Indent 2"/>
    <w:basedOn w:val="a"/>
    <w:link w:val="24"/>
    <w:rsid w:val="002A0B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A0BF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R1">
    <w:name w:val="FR1"/>
    <w:semiHidden/>
    <w:rsid w:val="002A0BFB"/>
    <w:pPr>
      <w:widowControl w:val="0"/>
      <w:spacing w:after="0" w:line="260" w:lineRule="auto"/>
      <w:ind w:left="120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aff2">
    <w:name w:val="Диаграмма"/>
    <w:basedOn w:val="a"/>
    <w:autoRedefine/>
    <w:semiHidden/>
    <w:rsid w:val="002A0BF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2A0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"/>
    <w:basedOn w:val="a"/>
    <w:semiHidden/>
    <w:rsid w:val="002A0BF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4">
    <w:name w:val="Основной"/>
    <w:basedOn w:val="a"/>
    <w:link w:val="aff5"/>
    <w:qFormat/>
    <w:rsid w:val="002A0B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f5">
    <w:name w:val="Основной Знак"/>
    <w:link w:val="aff4"/>
    <w:rsid w:val="002A0BF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3">
    <w:name w:val="1_Заголовок"/>
    <w:basedOn w:val="a"/>
    <w:next w:val="aff4"/>
    <w:link w:val="14"/>
    <w:qFormat/>
    <w:rsid w:val="002A0BFB"/>
    <w:pPr>
      <w:tabs>
        <w:tab w:val="left" w:pos="429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6"/>
      <w:szCs w:val="26"/>
      <w:lang w:eastAsia="ru-RU"/>
    </w:rPr>
  </w:style>
  <w:style w:type="character" w:customStyle="1" w:styleId="14">
    <w:name w:val="1_Заголовок Знак"/>
    <w:link w:val="13"/>
    <w:rsid w:val="002A0BFB"/>
    <w:rPr>
      <w:rFonts w:ascii="Times New Roman" w:eastAsia="Times New Roman" w:hAnsi="Times New Roman" w:cs="Times New Roman"/>
      <w:b/>
      <w:caps/>
      <w:sz w:val="26"/>
      <w:szCs w:val="26"/>
      <w:lang w:eastAsia="ru-RU"/>
    </w:rPr>
  </w:style>
  <w:style w:type="paragraph" w:customStyle="1" w:styleId="aff6">
    <w:name w:val="ЛПодз"/>
    <w:basedOn w:val="aff4"/>
    <w:link w:val="aff7"/>
    <w:qFormat/>
    <w:rsid w:val="002A0BFB"/>
    <w:rPr>
      <w:b/>
    </w:rPr>
  </w:style>
  <w:style w:type="character" w:customStyle="1" w:styleId="aff7">
    <w:name w:val="ЛПодз Знак"/>
    <w:link w:val="aff6"/>
    <w:rsid w:val="002A0BFB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aff8">
    <w:name w:val="ЖНазвание"/>
    <w:basedOn w:val="aff6"/>
    <w:link w:val="aff9"/>
    <w:qFormat/>
    <w:rsid w:val="002A0BFB"/>
    <w:pPr>
      <w:ind w:firstLine="0"/>
      <w:jc w:val="center"/>
    </w:pPr>
  </w:style>
  <w:style w:type="character" w:customStyle="1" w:styleId="aff9">
    <w:name w:val="ЖНазвание Знак"/>
    <w:basedOn w:val="aff7"/>
    <w:link w:val="aff8"/>
    <w:rsid w:val="002A0BFB"/>
  </w:style>
  <w:style w:type="paragraph" w:customStyle="1" w:styleId="affa">
    <w:name w:val="Ц_Основной"/>
    <w:basedOn w:val="a"/>
    <w:link w:val="affb"/>
    <w:qFormat/>
    <w:rsid w:val="002A0BF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Ц_Основной Знак"/>
    <w:basedOn w:val="a0"/>
    <w:link w:val="affa"/>
    <w:rsid w:val="002A0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ЛВыключка"/>
    <w:basedOn w:val="a"/>
    <w:link w:val="affd"/>
    <w:qFormat/>
    <w:rsid w:val="002A0BF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d">
    <w:name w:val="ЛВыключка Знак"/>
    <w:basedOn w:val="a0"/>
    <w:link w:val="affc"/>
    <w:rsid w:val="002A0B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fe">
    <w:name w:val="FollowedHyperlink"/>
    <w:basedOn w:val="a0"/>
    <w:rsid w:val="002A0BFB"/>
    <w:rPr>
      <w:color w:val="800080" w:themeColor="followedHyperlink"/>
      <w:u w:val="single"/>
    </w:rPr>
  </w:style>
  <w:style w:type="paragraph" w:styleId="15">
    <w:name w:val="toc 1"/>
    <w:basedOn w:val="a"/>
    <w:next w:val="a"/>
    <w:autoRedefine/>
    <w:uiPriority w:val="39"/>
    <w:unhideWhenUsed/>
    <w:rsid w:val="002A0BF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fff"/>
    <w:next w:val="aff4"/>
    <w:autoRedefine/>
    <w:uiPriority w:val="39"/>
    <w:unhideWhenUsed/>
    <w:rsid w:val="002A0BFB"/>
    <w:pPr>
      <w:spacing w:before="100" w:line="259" w:lineRule="auto"/>
      <w:ind w:left="221"/>
    </w:pPr>
    <w:rPr>
      <w:rFonts w:eastAsiaTheme="minorEastAsia" w:cstheme="minorBidi"/>
      <w:szCs w:val="22"/>
    </w:rPr>
  </w:style>
  <w:style w:type="paragraph" w:styleId="34">
    <w:name w:val="toc 3"/>
    <w:basedOn w:val="afff"/>
    <w:next w:val="aff4"/>
    <w:autoRedefine/>
    <w:uiPriority w:val="39"/>
    <w:unhideWhenUsed/>
    <w:rsid w:val="002A0BFB"/>
    <w:pPr>
      <w:ind w:left="510"/>
    </w:pPr>
    <w:rPr>
      <w:rFonts w:eastAsiaTheme="minorEastAsia" w:cstheme="minorBidi"/>
      <w:szCs w:val="22"/>
    </w:rPr>
  </w:style>
  <w:style w:type="paragraph" w:styleId="afff">
    <w:name w:val="Normal Indent"/>
    <w:basedOn w:val="a"/>
    <w:semiHidden/>
    <w:unhideWhenUsed/>
    <w:rsid w:val="002A0B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83C4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FD6F5-A5A0-433E-A0DB-F9EA7BA9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23</Pages>
  <Words>6651</Words>
  <Characters>37915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482</cp:revision>
  <cp:lastPrinted>2023-03-31T08:02:00Z</cp:lastPrinted>
  <dcterms:created xsi:type="dcterms:W3CDTF">2022-10-18T09:41:00Z</dcterms:created>
  <dcterms:modified xsi:type="dcterms:W3CDTF">2023-03-31T08:03:00Z</dcterms:modified>
</cp:coreProperties>
</file>